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Pr="00F4345E" w:rsidRDefault="00C869F3" w:rsidP="00C869F3">
      <w:pPr>
        <w:spacing w:after="480"/>
      </w:pPr>
      <w:r w:rsidRPr="00F4345E">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7"/>
        <w:gridCol w:w="4912"/>
      </w:tblGrid>
      <w:tr w:rsidR="00333FAA" w:rsidRPr="00F4345E" w14:paraId="322EF0DF" w14:textId="77777777" w:rsidTr="00B806DB">
        <w:trPr>
          <w:tblHeader/>
        </w:trPr>
        <w:tc>
          <w:tcPr>
            <w:tcW w:w="3397" w:type="dxa"/>
            <w:tcBorders>
              <w:bottom w:val="single" w:sz="18" w:space="0" w:color="auto"/>
            </w:tcBorders>
          </w:tcPr>
          <w:p w14:paraId="10F9A427" w14:textId="77777777" w:rsidR="00333FAA" w:rsidRPr="00F4345E" w:rsidRDefault="005811F8" w:rsidP="00F06E4E">
            <w:pPr>
              <w:pStyle w:val="Heading1"/>
              <w:spacing w:after="240"/>
              <w:outlineLvl w:val="0"/>
            </w:pPr>
            <w:r w:rsidRPr="00F4345E">
              <w:t>Report for</w:t>
            </w:r>
            <w:r w:rsidR="00333FAA" w:rsidRPr="00F4345E">
              <w:t>:</w:t>
            </w:r>
          </w:p>
        </w:tc>
        <w:tc>
          <w:tcPr>
            <w:tcW w:w="4912" w:type="dxa"/>
            <w:tcBorders>
              <w:bottom w:val="single" w:sz="18" w:space="0" w:color="auto"/>
            </w:tcBorders>
          </w:tcPr>
          <w:p w14:paraId="541B30E0" w14:textId="77777777" w:rsidR="00333FAA" w:rsidRPr="00F4345E" w:rsidRDefault="005811F8" w:rsidP="00F06E4E">
            <w:pPr>
              <w:pStyle w:val="Heading1"/>
              <w:outlineLvl w:val="0"/>
              <w:rPr>
                <w:szCs w:val="24"/>
              </w:rPr>
            </w:pPr>
            <w:r w:rsidRPr="00F4345E">
              <w:t>Cabinet</w:t>
            </w:r>
          </w:p>
        </w:tc>
      </w:tr>
      <w:tr w:rsidR="00333FAA" w:rsidRPr="00F4345E" w14:paraId="67D60646" w14:textId="77777777" w:rsidTr="00B806DB">
        <w:tc>
          <w:tcPr>
            <w:tcW w:w="3397" w:type="dxa"/>
            <w:tcBorders>
              <w:top w:val="single" w:sz="18" w:space="0" w:color="auto"/>
            </w:tcBorders>
          </w:tcPr>
          <w:p w14:paraId="4DDB5947" w14:textId="77777777" w:rsidR="00333FAA" w:rsidRPr="00F4345E" w:rsidRDefault="00333FAA" w:rsidP="00C869F3">
            <w:pPr>
              <w:pStyle w:val="Infotext"/>
              <w:spacing w:after="240"/>
              <w:rPr>
                <w:rFonts w:ascii="Arial Black" w:hAnsi="Arial Black" w:cs="Arial"/>
              </w:rPr>
            </w:pPr>
            <w:r w:rsidRPr="00F4345E">
              <w:rPr>
                <w:rFonts w:ascii="Arial Black" w:hAnsi="Arial Black"/>
              </w:rPr>
              <w:t>Date of Meeting:</w:t>
            </w:r>
          </w:p>
        </w:tc>
        <w:tc>
          <w:tcPr>
            <w:tcW w:w="4912" w:type="dxa"/>
            <w:tcBorders>
              <w:top w:val="single" w:sz="18" w:space="0" w:color="auto"/>
            </w:tcBorders>
          </w:tcPr>
          <w:p w14:paraId="72FCD075" w14:textId="60B0C7DA" w:rsidR="00333FAA" w:rsidRPr="00F4345E" w:rsidRDefault="004D1B58" w:rsidP="006554D5">
            <w:pPr>
              <w:spacing w:before="120"/>
              <w:rPr>
                <w:rFonts w:cs="Arial"/>
                <w:szCs w:val="24"/>
              </w:rPr>
            </w:pPr>
            <w:r w:rsidRPr="00F4345E">
              <w:rPr>
                <w:rFonts w:cs="Arial"/>
                <w:szCs w:val="24"/>
              </w:rPr>
              <w:t>24 May 2022</w:t>
            </w:r>
          </w:p>
        </w:tc>
      </w:tr>
      <w:tr w:rsidR="00333FAA" w:rsidRPr="00F4345E" w14:paraId="3CC97725" w14:textId="77777777" w:rsidTr="00B806DB">
        <w:tc>
          <w:tcPr>
            <w:tcW w:w="3397" w:type="dxa"/>
          </w:tcPr>
          <w:p w14:paraId="18BB8951" w14:textId="77777777" w:rsidR="00333FAA" w:rsidRPr="00F4345E" w:rsidRDefault="00333FAA" w:rsidP="00C869F3">
            <w:pPr>
              <w:pStyle w:val="Infotext"/>
              <w:spacing w:after="240"/>
              <w:rPr>
                <w:rFonts w:ascii="Arial Black" w:hAnsi="Arial Black"/>
              </w:rPr>
            </w:pPr>
            <w:r w:rsidRPr="00F4345E">
              <w:rPr>
                <w:rFonts w:ascii="Arial Black" w:hAnsi="Arial Black" w:cs="Arial"/>
              </w:rPr>
              <w:t>Subject:</w:t>
            </w:r>
          </w:p>
        </w:tc>
        <w:tc>
          <w:tcPr>
            <w:tcW w:w="4912" w:type="dxa"/>
          </w:tcPr>
          <w:p w14:paraId="6D8FB2C1" w14:textId="765A898B" w:rsidR="00333FAA" w:rsidRPr="00F4345E" w:rsidRDefault="004D1B58" w:rsidP="006554D5">
            <w:pPr>
              <w:spacing w:before="120"/>
              <w:rPr>
                <w:rFonts w:cs="Arial"/>
                <w:szCs w:val="24"/>
              </w:rPr>
            </w:pPr>
            <w:r w:rsidRPr="00F4345E">
              <w:rPr>
                <w:rFonts w:cs="Arial"/>
                <w:szCs w:val="24"/>
              </w:rPr>
              <w:t>Tall Buildings and Residential Conversions</w:t>
            </w:r>
          </w:p>
        </w:tc>
      </w:tr>
      <w:tr w:rsidR="00333FAA" w:rsidRPr="00F4345E" w14:paraId="32449166" w14:textId="77777777" w:rsidTr="00B806DB">
        <w:tc>
          <w:tcPr>
            <w:tcW w:w="3397" w:type="dxa"/>
          </w:tcPr>
          <w:p w14:paraId="17ECA8FA" w14:textId="77777777" w:rsidR="00333FAA" w:rsidRPr="00F4345E" w:rsidRDefault="00333FAA" w:rsidP="00C869F3">
            <w:pPr>
              <w:pStyle w:val="Infotext"/>
              <w:spacing w:after="240"/>
              <w:rPr>
                <w:rFonts w:ascii="Arial Black" w:hAnsi="Arial Black" w:cs="Arial"/>
              </w:rPr>
            </w:pPr>
            <w:r w:rsidRPr="00F4345E">
              <w:rPr>
                <w:rFonts w:ascii="Arial Black" w:hAnsi="Arial Black" w:cs="Arial"/>
              </w:rPr>
              <w:t>Key Decision:</w:t>
            </w:r>
          </w:p>
        </w:tc>
        <w:tc>
          <w:tcPr>
            <w:tcW w:w="4912" w:type="dxa"/>
          </w:tcPr>
          <w:p w14:paraId="3EADF2B3" w14:textId="31272C52" w:rsidR="00333FAA" w:rsidRPr="00F4345E" w:rsidRDefault="001C7E35" w:rsidP="006554D5">
            <w:pPr>
              <w:pStyle w:val="Infotext"/>
              <w:spacing w:before="120"/>
              <w:rPr>
                <w:rFonts w:cs="Arial"/>
                <w:szCs w:val="24"/>
              </w:rPr>
            </w:pPr>
            <w:r w:rsidRPr="00F4345E">
              <w:rPr>
                <w:rFonts w:cs="Arial"/>
                <w:sz w:val="24"/>
                <w:szCs w:val="24"/>
              </w:rPr>
              <w:t>No</w:t>
            </w:r>
            <w:r w:rsidR="00D532F7" w:rsidRPr="00F4345E">
              <w:rPr>
                <w:rFonts w:cs="Arial"/>
                <w:sz w:val="24"/>
                <w:szCs w:val="24"/>
              </w:rPr>
              <w:t xml:space="preserve"> </w:t>
            </w:r>
          </w:p>
        </w:tc>
      </w:tr>
      <w:tr w:rsidR="002F545B" w:rsidRPr="00F4345E" w14:paraId="79E96200" w14:textId="77777777" w:rsidTr="00B806DB">
        <w:tc>
          <w:tcPr>
            <w:tcW w:w="3397" w:type="dxa"/>
          </w:tcPr>
          <w:p w14:paraId="0B8ABDC4" w14:textId="0AE2DC5F" w:rsidR="001C7E35" w:rsidRPr="00F4345E" w:rsidRDefault="001C7E35" w:rsidP="00C869F3">
            <w:pPr>
              <w:pStyle w:val="Infotext"/>
              <w:spacing w:after="240"/>
              <w:rPr>
                <w:rFonts w:ascii="Arial Black" w:hAnsi="Arial Black" w:cs="Arial"/>
              </w:rPr>
            </w:pPr>
            <w:r w:rsidRPr="00F4345E">
              <w:rPr>
                <w:rFonts w:ascii="Arial Black" w:hAnsi="Arial Black" w:cs="Arial"/>
              </w:rPr>
              <w:t>Responsible Officer</w:t>
            </w:r>
            <w:r w:rsidR="00485A6F">
              <w:rPr>
                <w:rFonts w:ascii="Arial Black" w:hAnsi="Arial Black" w:cs="Arial"/>
              </w:rPr>
              <w:t>s</w:t>
            </w:r>
            <w:r w:rsidRPr="00F4345E">
              <w:rPr>
                <w:rFonts w:ascii="Arial Black" w:hAnsi="Arial Black" w:cs="Arial"/>
              </w:rPr>
              <w:t>:</w:t>
            </w:r>
          </w:p>
        </w:tc>
        <w:tc>
          <w:tcPr>
            <w:tcW w:w="4912" w:type="dxa"/>
          </w:tcPr>
          <w:p w14:paraId="309BB07A" w14:textId="77777777" w:rsidR="004C5D20" w:rsidRDefault="004C5D20" w:rsidP="006554D5">
            <w:pPr>
              <w:pStyle w:val="Infotext"/>
              <w:spacing w:before="120"/>
              <w:rPr>
                <w:rFonts w:cs="Arial"/>
                <w:sz w:val="24"/>
                <w:szCs w:val="24"/>
              </w:rPr>
            </w:pPr>
            <w:r>
              <w:rPr>
                <w:rFonts w:cs="Arial"/>
                <w:sz w:val="24"/>
                <w:szCs w:val="24"/>
              </w:rPr>
              <w:t>Dipti Patel Corporate Director Place</w:t>
            </w:r>
          </w:p>
          <w:p w14:paraId="649EB528" w14:textId="4ABC3074" w:rsidR="001C7E35" w:rsidRPr="00F4345E" w:rsidRDefault="00D532F7" w:rsidP="006554D5">
            <w:pPr>
              <w:pStyle w:val="Infotext"/>
              <w:spacing w:before="120"/>
              <w:rPr>
                <w:rFonts w:cs="Arial"/>
                <w:sz w:val="24"/>
                <w:szCs w:val="24"/>
              </w:rPr>
            </w:pPr>
            <w:r w:rsidRPr="00F4345E">
              <w:rPr>
                <w:rFonts w:cs="Arial"/>
                <w:sz w:val="24"/>
                <w:szCs w:val="24"/>
              </w:rPr>
              <w:t xml:space="preserve">Beverley Kuchar, </w:t>
            </w:r>
            <w:r w:rsidR="008B20F4" w:rsidRPr="00F4345E">
              <w:rPr>
                <w:rFonts w:cs="Arial"/>
                <w:sz w:val="24"/>
                <w:szCs w:val="24"/>
              </w:rPr>
              <w:t>Chief Planning Officer</w:t>
            </w:r>
          </w:p>
          <w:p w14:paraId="3798BF23" w14:textId="77777777" w:rsidR="001C7E35" w:rsidRPr="00F4345E" w:rsidRDefault="001C7E35" w:rsidP="006554D5">
            <w:pPr>
              <w:pStyle w:val="Infotext"/>
              <w:spacing w:before="120"/>
              <w:rPr>
                <w:rFonts w:cs="Arial"/>
                <w:sz w:val="24"/>
                <w:szCs w:val="24"/>
              </w:rPr>
            </w:pPr>
          </w:p>
        </w:tc>
      </w:tr>
      <w:tr w:rsidR="002F545B" w:rsidRPr="00F4345E" w14:paraId="3B6FD8B1" w14:textId="77777777" w:rsidTr="00B806DB">
        <w:tc>
          <w:tcPr>
            <w:tcW w:w="3397" w:type="dxa"/>
          </w:tcPr>
          <w:p w14:paraId="0961945D" w14:textId="77777777" w:rsidR="001C7E35" w:rsidRPr="00F4345E" w:rsidRDefault="001C7E35" w:rsidP="00C869F3">
            <w:pPr>
              <w:pStyle w:val="Infotext"/>
              <w:spacing w:after="240"/>
              <w:rPr>
                <w:rFonts w:ascii="Arial Black" w:hAnsi="Arial Black"/>
              </w:rPr>
            </w:pPr>
            <w:r w:rsidRPr="00F4345E">
              <w:rPr>
                <w:rFonts w:ascii="Arial Black" w:hAnsi="Arial Black"/>
              </w:rPr>
              <w:t>Portfolio Holder:</w:t>
            </w:r>
          </w:p>
        </w:tc>
        <w:tc>
          <w:tcPr>
            <w:tcW w:w="4912" w:type="dxa"/>
          </w:tcPr>
          <w:p w14:paraId="39A9A01A" w14:textId="23470802" w:rsidR="001C7E35" w:rsidRPr="00F4345E" w:rsidRDefault="008B20F4" w:rsidP="006554D5">
            <w:pPr>
              <w:pStyle w:val="Infotext"/>
              <w:spacing w:before="120"/>
              <w:rPr>
                <w:rFonts w:cs="Arial"/>
                <w:sz w:val="24"/>
                <w:szCs w:val="24"/>
              </w:rPr>
            </w:pPr>
            <w:r w:rsidRPr="00F4345E">
              <w:rPr>
                <w:rFonts w:cs="Arial"/>
                <w:sz w:val="24"/>
                <w:szCs w:val="24"/>
              </w:rPr>
              <w:t xml:space="preserve">Councillor Marilyn Ashton, </w:t>
            </w:r>
            <w:r w:rsidR="002F545B" w:rsidRPr="00F4345E">
              <w:rPr>
                <w:rFonts w:cs="Arial"/>
                <w:sz w:val="24"/>
                <w:szCs w:val="24"/>
              </w:rPr>
              <w:t>Portfolio Holder for Planning and Regeneration</w:t>
            </w:r>
          </w:p>
        </w:tc>
      </w:tr>
      <w:tr w:rsidR="002F545B" w:rsidRPr="00F4345E" w14:paraId="3CF618C8" w14:textId="77777777" w:rsidTr="00B806DB">
        <w:tc>
          <w:tcPr>
            <w:tcW w:w="3397" w:type="dxa"/>
          </w:tcPr>
          <w:p w14:paraId="4CD8D092" w14:textId="77777777" w:rsidR="001C7E35" w:rsidRPr="00F4345E" w:rsidRDefault="001C7E35" w:rsidP="00C869F3">
            <w:pPr>
              <w:pStyle w:val="Infotext"/>
              <w:spacing w:after="240"/>
              <w:rPr>
                <w:rFonts w:ascii="Arial Black" w:hAnsi="Arial Black"/>
              </w:rPr>
            </w:pPr>
            <w:r w:rsidRPr="00F4345E">
              <w:rPr>
                <w:rFonts w:ascii="Arial Black" w:hAnsi="Arial Black"/>
              </w:rPr>
              <w:t>Exempt:</w:t>
            </w:r>
          </w:p>
        </w:tc>
        <w:tc>
          <w:tcPr>
            <w:tcW w:w="4912" w:type="dxa"/>
          </w:tcPr>
          <w:p w14:paraId="755E47D1" w14:textId="4F00E9C9" w:rsidR="001C7E35" w:rsidRPr="00F4345E" w:rsidRDefault="001C7E35" w:rsidP="006554D5">
            <w:pPr>
              <w:pStyle w:val="Infotext"/>
              <w:spacing w:before="120"/>
              <w:rPr>
                <w:rFonts w:cs="Arial"/>
                <w:sz w:val="24"/>
                <w:szCs w:val="24"/>
              </w:rPr>
            </w:pPr>
            <w:r w:rsidRPr="00F4345E">
              <w:rPr>
                <w:rFonts w:cs="Arial"/>
                <w:sz w:val="24"/>
                <w:szCs w:val="24"/>
              </w:rPr>
              <w:t>No</w:t>
            </w:r>
          </w:p>
        </w:tc>
      </w:tr>
      <w:tr w:rsidR="002F545B" w:rsidRPr="00F4345E" w14:paraId="577CD75A" w14:textId="77777777" w:rsidTr="00B806DB">
        <w:tc>
          <w:tcPr>
            <w:tcW w:w="3397" w:type="dxa"/>
          </w:tcPr>
          <w:p w14:paraId="4821943C" w14:textId="77777777" w:rsidR="001C7E35" w:rsidRPr="00F4345E" w:rsidRDefault="001C7E35" w:rsidP="00C869F3">
            <w:pPr>
              <w:pStyle w:val="Infotext"/>
              <w:spacing w:after="240"/>
              <w:rPr>
                <w:rFonts w:ascii="Arial Black" w:hAnsi="Arial Black"/>
              </w:rPr>
            </w:pPr>
            <w:r w:rsidRPr="00F4345E">
              <w:rPr>
                <w:rFonts w:ascii="Arial Black" w:hAnsi="Arial Black"/>
              </w:rPr>
              <w:t>Decision subject to Call-in:</w:t>
            </w:r>
          </w:p>
        </w:tc>
        <w:tc>
          <w:tcPr>
            <w:tcW w:w="4912" w:type="dxa"/>
          </w:tcPr>
          <w:p w14:paraId="3A75E271" w14:textId="38A55C0A" w:rsidR="00714BEE" w:rsidRPr="00F4345E" w:rsidRDefault="00764700" w:rsidP="004F4B03">
            <w:pPr>
              <w:pStyle w:val="Infotext"/>
              <w:spacing w:before="120"/>
              <w:rPr>
                <w:rFonts w:cs="Arial"/>
                <w:szCs w:val="24"/>
              </w:rPr>
            </w:pPr>
            <w:r>
              <w:rPr>
                <w:rFonts w:cs="Arial"/>
                <w:szCs w:val="24"/>
              </w:rPr>
              <w:t>Yes</w:t>
            </w:r>
          </w:p>
        </w:tc>
      </w:tr>
      <w:tr w:rsidR="002F545B" w:rsidRPr="00F4345E" w14:paraId="5F1445BF" w14:textId="77777777" w:rsidTr="00B806DB">
        <w:tc>
          <w:tcPr>
            <w:tcW w:w="3397" w:type="dxa"/>
          </w:tcPr>
          <w:p w14:paraId="0E539C63" w14:textId="77777777" w:rsidR="001C7E35" w:rsidRPr="00F4345E" w:rsidRDefault="001C7E35" w:rsidP="00C869F3">
            <w:pPr>
              <w:pStyle w:val="Infotext"/>
              <w:spacing w:after="240"/>
              <w:rPr>
                <w:rFonts w:ascii="Arial Black" w:hAnsi="Arial Black" w:cs="Arial"/>
              </w:rPr>
            </w:pPr>
            <w:r w:rsidRPr="00F4345E">
              <w:rPr>
                <w:rFonts w:ascii="Arial Black" w:hAnsi="Arial Black" w:cs="Arial"/>
              </w:rPr>
              <w:t>Enclosures:</w:t>
            </w:r>
          </w:p>
        </w:tc>
        <w:tc>
          <w:tcPr>
            <w:tcW w:w="4912" w:type="dxa"/>
          </w:tcPr>
          <w:p w14:paraId="6668D730" w14:textId="7CB492B8" w:rsidR="001C7E35" w:rsidRPr="00F4345E" w:rsidRDefault="002F545B" w:rsidP="006554D5">
            <w:pPr>
              <w:pStyle w:val="Infotext"/>
              <w:spacing w:before="120"/>
              <w:rPr>
                <w:sz w:val="24"/>
                <w:szCs w:val="24"/>
              </w:rPr>
            </w:pPr>
            <w:r w:rsidRPr="00F4345E">
              <w:rPr>
                <w:rFonts w:cs="Arial"/>
                <w:sz w:val="24"/>
                <w:szCs w:val="24"/>
              </w:rPr>
              <w:t>None</w:t>
            </w:r>
          </w:p>
        </w:tc>
      </w:tr>
    </w:tbl>
    <w:p w14:paraId="27C48D26" w14:textId="77777777" w:rsidR="00333FAA" w:rsidRPr="00F4345E"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rsidRPr="00F4345E" w14:paraId="39320826" w14:textId="77777777" w:rsidTr="00221A93">
        <w:trPr>
          <w:tblHeader/>
        </w:trPr>
        <w:tc>
          <w:tcPr>
            <w:tcW w:w="8525" w:type="dxa"/>
            <w:tcBorders>
              <w:top w:val="nil"/>
              <w:left w:val="nil"/>
              <w:right w:val="nil"/>
            </w:tcBorders>
          </w:tcPr>
          <w:p w14:paraId="3A67BFB3" w14:textId="77777777" w:rsidR="00333FAA" w:rsidRPr="00F4345E" w:rsidRDefault="00333FAA" w:rsidP="00605A4C">
            <w:pPr>
              <w:pStyle w:val="Heading2"/>
              <w:spacing w:after="240"/>
            </w:pPr>
            <w:r w:rsidRPr="00F4345E">
              <w:t>Section 1 – Summary and Recommendations</w:t>
            </w:r>
          </w:p>
        </w:tc>
      </w:tr>
      <w:tr w:rsidR="00A539AA" w:rsidRPr="00F4345E" w14:paraId="5D78E563" w14:textId="77777777" w:rsidTr="00221A93">
        <w:trPr>
          <w:tblHeader/>
        </w:trPr>
        <w:tc>
          <w:tcPr>
            <w:tcW w:w="8525" w:type="dxa"/>
          </w:tcPr>
          <w:p w14:paraId="4F6F76A4" w14:textId="1C73E50F" w:rsidR="001C7E35" w:rsidRPr="00F4345E" w:rsidRDefault="001C7E35" w:rsidP="00605A4C">
            <w:r w:rsidRPr="00F4345E">
              <w:t>This report sets out</w:t>
            </w:r>
            <w:r w:rsidR="00DB6C3D" w:rsidRPr="00F4345E">
              <w:t xml:space="preserve"> </w:t>
            </w:r>
            <w:r w:rsidR="00537016" w:rsidRPr="00F4345E">
              <w:t xml:space="preserve">proposals to prepare guidance in relation to tall buildings and residential conversions within the borough, including </w:t>
            </w:r>
            <w:r w:rsidR="0099255F" w:rsidRPr="00F4345E">
              <w:t>broad process and timeframes.</w:t>
            </w:r>
          </w:p>
          <w:p w14:paraId="02274D72" w14:textId="77777777" w:rsidR="001C7E35" w:rsidRPr="00F4345E" w:rsidRDefault="00605A4C" w:rsidP="00E13BEF">
            <w:pPr>
              <w:pStyle w:val="Heading3"/>
              <w:spacing w:before="240"/>
            </w:pPr>
            <w:r w:rsidRPr="00F4345E">
              <w:t>Recommen</w:t>
            </w:r>
            <w:r w:rsidR="001C7E35" w:rsidRPr="00F4345E">
              <w:t xml:space="preserve">dations: </w:t>
            </w:r>
          </w:p>
          <w:p w14:paraId="38D2B60D" w14:textId="01876E88" w:rsidR="001C7E35" w:rsidRDefault="001C7E35" w:rsidP="00605A4C">
            <w:r w:rsidRPr="00F4345E">
              <w:t>Cabinet is requested to:</w:t>
            </w:r>
          </w:p>
          <w:p w14:paraId="43A80DA8" w14:textId="77777777" w:rsidR="00AB5BBD" w:rsidRPr="00F4345E" w:rsidRDefault="00AB5BBD" w:rsidP="00605A4C"/>
          <w:p w14:paraId="1A1AD92C" w14:textId="09ED5D38" w:rsidR="00591016" w:rsidRPr="00992AD6" w:rsidRDefault="0099255F" w:rsidP="00AB5BBD">
            <w:pPr>
              <w:pStyle w:val="ListParagraph"/>
              <w:numPr>
                <w:ilvl w:val="0"/>
                <w:numId w:val="5"/>
              </w:numPr>
            </w:pPr>
            <w:r w:rsidRPr="00992AD6">
              <w:t>Note the report</w:t>
            </w:r>
            <w:r w:rsidR="00C378BD" w:rsidRPr="00992AD6">
              <w:t xml:space="preserve"> </w:t>
            </w:r>
            <w:r w:rsidR="00231114" w:rsidRPr="00231114">
              <w:t xml:space="preserve">and </w:t>
            </w:r>
            <w:r w:rsidR="00764700">
              <w:t>instruct officers to</w:t>
            </w:r>
            <w:r w:rsidR="00231114" w:rsidRPr="00231114">
              <w:t xml:space="preserve"> prepar</w:t>
            </w:r>
            <w:r w:rsidR="00764700">
              <w:t>e</w:t>
            </w:r>
            <w:r w:rsidR="00231114" w:rsidRPr="00231114">
              <w:t xml:space="preserve"> </w:t>
            </w:r>
            <w:r w:rsidR="00D22C10">
              <w:t>a</w:t>
            </w:r>
            <w:r w:rsidR="00231114" w:rsidRPr="00231114">
              <w:t xml:space="preserve"> proposed </w:t>
            </w:r>
            <w:r w:rsidR="005728CE">
              <w:t xml:space="preserve">Tall Buildings </w:t>
            </w:r>
            <w:r w:rsidR="00231114" w:rsidRPr="00231114">
              <w:t xml:space="preserve">SPD </w:t>
            </w:r>
            <w:r w:rsidR="005728CE">
              <w:t xml:space="preserve">and residential conversion guidance </w:t>
            </w:r>
            <w:r w:rsidR="00D22C10">
              <w:t xml:space="preserve">and bring them back to Cabinet for </w:t>
            </w:r>
            <w:r w:rsidR="00231114" w:rsidRPr="00231114">
              <w:t>adopt</w:t>
            </w:r>
            <w:r w:rsidR="00764700">
              <w:t>ion</w:t>
            </w:r>
            <w:r w:rsidR="00231114">
              <w:t>.</w:t>
            </w:r>
          </w:p>
          <w:p w14:paraId="130A1D51" w14:textId="77777777" w:rsidR="00591016" w:rsidRPr="00F4345E" w:rsidRDefault="00591016" w:rsidP="00605A4C"/>
          <w:p w14:paraId="3499D607" w14:textId="77777777" w:rsidR="00A539AA" w:rsidRPr="00F4345E" w:rsidRDefault="00E13BEF" w:rsidP="00E13BEF">
            <w:pPr>
              <w:pStyle w:val="Heading3"/>
              <w:ind w:left="0" w:firstLine="0"/>
              <w:jc w:val="left"/>
            </w:pPr>
            <w:r w:rsidRPr="00F4345E">
              <w:t>Reason: (f</w:t>
            </w:r>
            <w:r w:rsidR="001C7E35" w:rsidRPr="00F4345E">
              <w:t>or recommendation</w:t>
            </w:r>
            <w:r w:rsidR="00714BEE" w:rsidRPr="00F4345E">
              <w:t>s</w:t>
            </w:r>
            <w:r w:rsidR="001C7E35" w:rsidRPr="00F4345E">
              <w:t>)</w:t>
            </w:r>
          </w:p>
          <w:p w14:paraId="061365F9" w14:textId="48BB820F" w:rsidR="001C7E35" w:rsidRPr="00F4345E" w:rsidRDefault="00123E8D" w:rsidP="00123E8D">
            <w:r w:rsidRPr="00F4345E">
              <w:t xml:space="preserve">To </w:t>
            </w:r>
            <w:r w:rsidR="006E52F5">
              <w:t xml:space="preserve">enable Cabinet to consider additional </w:t>
            </w:r>
            <w:r w:rsidRPr="00F4345E">
              <w:t xml:space="preserve">guidance in relation to tall buildings and </w:t>
            </w:r>
            <w:r w:rsidR="00A51E5B" w:rsidRPr="00F4345E">
              <w:t>residential conversions</w:t>
            </w:r>
            <w:r w:rsidR="003865B8">
              <w:t>.</w:t>
            </w:r>
          </w:p>
          <w:p w14:paraId="313BC81E" w14:textId="77777777" w:rsidR="00333FAA" w:rsidRPr="00F4345E" w:rsidRDefault="00333FAA" w:rsidP="00605A4C"/>
        </w:tc>
      </w:tr>
    </w:tbl>
    <w:p w14:paraId="0204F38A" w14:textId="77777777" w:rsidR="00333FAA" w:rsidRPr="00F4345E" w:rsidRDefault="00333FAA" w:rsidP="00F445C4">
      <w:pPr>
        <w:pStyle w:val="Heading2"/>
        <w:keepNext/>
        <w:spacing w:before="480"/>
      </w:pPr>
      <w:r w:rsidRPr="00F4345E">
        <w:lastRenderedPageBreak/>
        <w:t>Section 2 – Report</w:t>
      </w:r>
    </w:p>
    <w:p w14:paraId="76168D48" w14:textId="132B3C0B" w:rsidR="001C7E35" w:rsidRPr="00F4345E" w:rsidRDefault="00CB7FCF" w:rsidP="00F445C4">
      <w:pPr>
        <w:pStyle w:val="Heading3"/>
        <w:keepNext/>
        <w:spacing w:before="240"/>
        <w:ind w:left="851" w:hanging="851"/>
        <w:jc w:val="left"/>
      </w:pPr>
      <w:r>
        <w:t>1.0</w:t>
      </w:r>
      <w:r>
        <w:tab/>
      </w:r>
      <w:r w:rsidR="001C7E35" w:rsidRPr="00F4345E">
        <w:t>Introduct</w:t>
      </w:r>
      <w:r w:rsidR="006554D5">
        <w:t xml:space="preserve">ion </w:t>
      </w:r>
    </w:p>
    <w:p w14:paraId="3238C1FE" w14:textId="77777777" w:rsidR="006554D5" w:rsidRDefault="006554D5" w:rsidP="00F445C4">
      <w:pPr>
        <w:keepNext/>
        <w:ind w:left="851" w:hanging="851"/>
      </w:pPr>
    </w:p>
    <w:p w14:paraId="5A36F951" w14:textId="62F527CC" w:rsidR="001C7E35" w:rsidRPr="00F4345E" w:rsidRDefault="006554D5" w:rsidP="006554D5">
      <w:pPr>
        <w:ind w:left="851" w:hanging="851"/>
      </w:pPr>
      <w:r>
        <w:t>1.1</w:t>
      </w:r>
      <w:r>
        <w:tab/>
      </w:r>
      <w:r w:rsidR="0045295D" w:rsidRPr="00F4345E">
        <w:t xml:space="preserve">This report </w:t>
      </w:r>
      <w:r w:rsidR="0040740B">
        <w:t xml:space="preserve">suggests </w:t>
      </w:r>
      <w:r w:rsidR="0045295D" w:rsidRPr="00F4345E">
        <w:t xml:space="preserve">the </w:t>
      </w:r>
      <w:r w:rsidR="00706877" w:rsidRPr="00F4345E">
        <w:t>prepar</w:t>
      </w:r>
      <w:r w:rsidR="0040740B">
        <w:t xml:space="preserve">ation of </w:t>
      </w:r>
      <w:r w:rsidR="00706877" w:rsidRPr="00F4345E">
        <w:t>guidance in relation to tall buildings and residential conversions</w:t>
      </w:r>
      <w:r w:rsidR="001C7E35" w:rsidRPr="00F4345E">
        <w:t xml:space="preserve">.  </w:t>
      </w:r>
    </w:p>
    <w:p w14:paraId="0A078380" w14:textId="71D0E941" w:rsidR="00AD1E77" w:rsidRPr="00F4345E" w:rsidRDefault="006554D5" w:rsidP="00D05BD9">
      <w:pPr>
        <w:pStyle w:val="Heading3"/>
        <w:keepNext/>
        <w:spacing w:before="240"/>
        <w:ind w:left="851" w:hanging="851"/>
        <w:jc w:val="left"/>
      </w:pPr>
      <w:r>
        <w:t>2.0</w:t>
      </w:r>
      <w:r>
        <w:tab/>
      </w:r>
      <w:r w:rsidR="001C7E35" w:rsidRPr="00F4345E">
        <w:t>Options considered</w:t>
      </w:r>
    </w:p>
    <w:p w14:paraId="1F819650" w14:textId="77777777" w:rsidR="006554D5" w:rsidRDefault="006554D5" w:rsidP="00D05BD9">
      <w:pPr>
        <w:keepNext/>
        <w:ind w:left="851" w:hanging="851"/>
      </w:pPr>
    </w:p>
    <w:p w14:paraId="5D4C8EA1" w14:textId="6AED437C" w:rsidR="001C7E35" w:rsidRPr="00F4345E" w:rsidRDefault="006554D5" w:rsidP="006554D5">
      <w:pPr>
        <w:ind w:left="851" w:hanging="851"/>
      </w:pPr>
      <w:r w:rsidRPr="007010BD">
        <w:t>2.1</w:t>
      </w:r>
      <w:r w:rsidRPr="007010BD">
        <w:tab/>
      </w:r>
      <w:r w:rsidR="00755BCF" w:rsidRPr="007010BD">
        <w:t xml:space="preserve">To do nothing and rely on </w:t>
      </w:r>
      <w:r w:rsidR="0050600D" w:rsidRPr="007010BD">
        <w:t xml:space="preserve">the </w:t>
      </w:r>
      <w:r w:rsidR="00755BCF" w:rsidRPr="007010BD">
        <w:t>existing local policy framework (C</w:t>
      </w:r>
      <w:r w:rsidR="00C52314" w:rsidRPr="007010BD">
        <w:t xml:space="preserve">ore </w:t>
      </w:r>
      <w:r w:rsidR="00755BCF" w:rsidRPr="007010BD">
        <w:t>S</w:t>
      </w:r>
      <w:r w:rsidR="00C52314" w:rsidRPr="007010BD">
        <w:t>trategy</w:t>
      </w:r>
      <w:r w:rsidR="00755BCF" w:rsidRPr="007010BD">
        <w:t xml:space="preserve"> and D</w:t>
      </w:r>
      <w:r w:rsidR="00C52314" w:rsidRPr="007010BD">
        <w:t xml:space="preserve">evelopment </w:t>
      </w:r>
      <w:r w:rsidR="00755BCF" w:rsidRPr="007010BD">
        <w:t>M</w:t>
      </w:r>
      <w:r w:rsidR="00C52314" w:rsidRPr="007010BD">
        <w:t xml:space="preserve">anagement </w:t>
      </w:r>
      <w:r w:rsidR="00755BCF" w:rsidRPr="007010BD">
        <w:t>P</w:t>
      </w:r>
      <w:r w:rsidR="00C52314" w:rsidRPr="007010BD">
        <w:t>olicies</w:t>
      </w:r>
      <w:r w:rsidR="00755BCF" w:rsidRPr="007010BD">
        <w:t xml:space="preserve"> </w:t>
      </w:r>
      <w:r w:rsidR="00C52314" w:rsidRPr="007010BD">
        <w:t xml:space="preserve">adopted </w:t>
      </w:r>
      <w:r w:rsidR="00755BCF" w:rsidRPr="007010BD">
        <w:t>in 2012 and 2013</w:t>
      </w:r>
      <w:r w:rsidR="00C52314" w:rsidRPr="007010BD">
        <w:t xml:space="preserve"> respectively</w:t>
      </w:r>
      <w:r w:rsidR="00E6080A" w:rsidRPr="007010BD">
        <w:t>)</w:t>
      </w:r>
      <w:r w:rsidR="00C52314" w:rsidRPr="007010BD">
        <w:t xml:space="preserve">. </w:t>
      </w:r>
      <w:r w:rsidR="00E16F94" w:rsidRPr="007010BD">
        <w:t>The</w:t>
      </w:r>
      <w:r w:rsidR="00A02F89" w:rsidRPr="007010BD">
        <w:t xml:space="preserve"> London Plan 2021</w:t>
      </w:r>
      <w:r w:rsidR="00183CFE" w:rsidRPr="007010BD">
        <w:t xml:space="preserve"> </w:t>
      </w:r>
      <w:r w:rsidR="00E16F94" w:rsidRPr="007010BD">
        <w:t xml:space="preserve">has been </w:t>
      </w:r>
      <w:r w:rsidR="00761EFA" w:rsidRPr="007010BD">
        <w:t xml:space="preserve">published and </w:t>
      </w:r>
      <w:r w:rsidR="000962FB" w:rsidRPr="007010BD">
        <w:t xml:space="preserve">the </w:t>
      </w:r>
      <w:r w:rsidR="00C20131" w:rsidRPr="007010BD">
        <w:t xml:space="preserve">update to the Local Plan </w:t>
      </w:r>
      <w:r w:rsidR="000962FB" w:rsidRPr="007010BD">
        <w:t xml:space="preserve">will not be completed and adopted for at least </w:t>
      </w:r>
      <w:r w:rsidR="006A3C28" w:rsidRPr="007010BD">
        <w:t>two years</w:t>
      </w:r>
      <w:r w:rsidR="007010BD" w:rsidRPr="007010BD">
        <w:t xml:space="preserve"> meaning to do nothing would </w:t>
      </w:r>
      <w:r w:rsidR="006A3C28" w:rsidRPr="007010BD">
        <w:t>leav</w:t>
      </w:r>
      <w:r w:rsidR="007010BD" w:rsidRPr="007010BD">
        <w:t>e</w:t>
      </w:r>
      <w:r w:rsidR="006A3C28" w:rsidRPr="007010BD">
        <w:t xml:space="preserve"> </w:t>
      </w:r>
      <w:r w:rsidR="00183CFE" w:rsidRPr="007010BD">
        <w:t>a</w:t>
      </w:r>
      <w:r w:rsidR="006615FD" w:rsidRPr="007010BD">
        <w:t xml:space="preserve"> significant </w:t>
      </w:r>
      <w:r w:rsidR="007010BD" w:rsidRPr="007010BD">
        <w:t>period</w:t>
      </w:r>
      <w:r w:rsidR="006615FD" w:rsidRPr="007010BD">
        <w:t xml:space="preserve"> without </w:t>
      </w:r>
      <w:r w:rsidR="00796597" w:rsidRPr="007010BD">
        <w:t>contemporary local guidance</w:t>
      </w:r>
      <w:r w:rsidR="00C214F1">
        <w:t xml:space="preserve"> relating to tall buildings and residential conversions</w:t>
      </w:r>
      <w:r w:rsidR="00796597" w:rsidRPr="007010BD">
        <w:t>.</w:t>
      </w:r>
    </w:p>
    <w:p w14:paraId="5D089B1E" w14:textId="1EA4E9A0" w:rsidR="00333FAA" w:rsidRPr="00F4345E" w:rsidRDefault="006554D5" w:rsidP="00DE6CE2">
      <w:pPr>
        <w:pStyle w:val="Heading2"/>
        <w:keepNext/>
        <w:spacing w:before="240"/>
        <w:ind w:left="851" w:hanging="851"/>
        <w:rPr>
          <w:rFonts w:ascii="Arial" w:hAnsi="Arial"/>
          <w:sz w:val="28"/>
          <w:szCs w:val="28"/>
        </w:rPr>
      </w:pPr>
      <w:r>
        <w:rPr>
          <w:rFonts w:ascii="Arial" w:hAnsi="Arial"/>
          <w:sz w:val="28"/>
          <w:szCs w:val="28"/>
        </w:rPr>
        <w:t>3.0</w:t>
      </w:r>
      <w:r>
        <w:rPr>
          <w:rFonts w:ascii="Arial" w:hAnsi="Arial"/>
          <w:sz w:val="28"/>
          <w:szCs w:val="28"/>
        </w:rPr>
        <w:tab/>
      </w:r>
      <w:r w:rsidR="00333FAA" w:rsidRPr="00F4345E">
        <w:rPr>
          <w:rFonts w:ascii="Arial" w:hAnsi="Arial"/>
          <w:sz w:val="28"/>
          <w:szCs w:val="28"/>
        </w:rPr>
        <w:t>Background</w:t>
      </w:r>
    </w:p>
    <w:p w14:paraId="1253B0B6" w14:textId="77777777" w:rsidR="006554D5" w:rsidRDefault="006554D5" w:rsidP="00DE6CE2">
      <w:pPr>
        <w:keepNext/>
        <w:ind w:left="851" w:hanging="851"/>
      </w:pPr>
    </w:p>
    <w:p w14:paraId="19E2B04C" w14:textId="13CA7AB7" w:rsidR="00356719" w:rsidRPr="00F4345E" w:rsidRDefault="006554D5" w:rsidP="006554D5">
      <w:pPr>
        <w:ind w:left="851" w:hanging="851"/>
        <w:rPr>
          <w:rFonts w:ascii="Calibri" w:hAnsi="Calibri"/>
          <w:sz w:val="22"/>
        </w:rPr>
      </w:pPr>
      <w:r>
        <w:t>3.1</w:t>
      </w:r>
      <w:r>
        <w:tab/>
      </w:r>
      <w:r w:rsidR="00356719" w:rsidRPr="00F4345E">
        <w:t xml:space="preserve">Tall buildings have been the subject of significant public interest in the context of the new London Plan 2021 and </w:t>
      </w:r>
      <w:proofErr w:type="gramStart"/>
      <w:r w:rsidR="00356719" w:rsidRPr="00F4345E">
        <w:t>a number of</w:t>
      </w:r>
      <w:proofErr w:type="gramEnd"/>
      <w:r w:rsidR="00356719" w:rsidRPr="00F4345E">
        <w:t xml:space="preserve"> recent proposals for tall or taller buildings in more suburban areas within the </w:t>
      </w:r>
      <w:r w:rsidR="00BD3E19">
        <w:t>borough</w:t>
      </w:r>
      <w:r w:rsidR="00356719" w:rsidRPr="00F4345E">
        <w:t>. Matters raised have included the character of the borough, the definition of a tall building (having regard to context), suitability of tall buildings (generally and in specific areas) and the most appropriate planning mechanisms to inform the consideration of planning applications.</w:t>
      </w:r>
    </w:p>
    <w:p w14:paraId="2E33A591" w14:textId="77777777" w:rsidR="00333FAA" w:rsidRPr="00F4345E" w:rsidRDefault="00333FAA" w:rsidP="006554D5">
      <w:pPr>
        <w:ind w:left="851" w:hanging="851"/>
        <w:rPr>
          <w:rFonts w:cs="Arial"/>
          <w:sz w:val="28"/>
          <w:szCs w:val="28"/>
        </w:rPr>
      </w:pPr>
    </w:p>
    <w:p w14:paraId="57AC2FE7" w14:textId="53D639A1" w:rsidR="009F7B52" w:rsidRPr="00F4345E" w:rsidRDefault="006554D5" w:rsidP="006554D5">
      <w:pPr>
        <w:ind w:left="851" w:hanging="851"/>
        <w:rPr>
          <w:rFonts w:ascii="Calibri" w:hAnsi="Calibri"/>
          <w:sz w:val="22"/>
        </w:rPr>
      </w:pPr>
      <w:r>
        <w:t>3.2</w:t>
      </w:r>
      <w:r>
        <w:tab/>
      </w:r>
      <w:r w:rsidR="009F7B52" w:rsidRPr="00F4345E">
        <w:t xml:space="preserve">Concern has also been expressed about the </w:t>
      </w:r>
      <w:r w:rsidR="00445D09">
        <w:t xml:space="preserve">standard of </w:t>
      </w:r>
      <w:r w:rsidR="00885FFB">
        <w:t>accommodation</w:t>
      </w:r>
      <w:r w:rsidR="00445D09">
        <w:t xml:space="preserve"> and</w:t>
      </w:r>
      <w:r w:rsidR="000849F6">
        <w:t xml:space="preserve"> </w:t>
      </w:r>
      <w:r w:rsidR="009F7B52" w:rsidRPr="00F4345E">
        <w:t>design quality of residential conversions. These concerns include the quality of streetscape created through any physical alterations / extensions to the building itself, as well as additional infrastructure required to support the additional dwellings (</w:t>
      </w:r>
      <w:proofErr w:type="gramStart"/>
      <w:r w:rsidR="009F7B52" w:rsidRPr="00F4345E">
        <w:t>i.e.</w:t>
      </w:r>
      <w:proofErr w:type="gramEnd"/>
      <w:r w:rsidR="009F7B52" w:rsidRPr="00F4345E">
        <w:t xml:space="preserve"> hard standing for car parking, refuse containers etc). </w:t>
      </w:r>
    </w:p>
    <w:p w14:paraId="02E533BB" w14:textId="77777777" w:rsidR="00356719" w:rsidRPr="00F4345E" w:rsidRDefault="00356719" w:rsidP="006554D5">
      <w:pPr>
        <w:ind w:left="851" w:hanging="851"/>
        <w:rPr>
          <w:rFonts w:cs="Arial"/>
          <w:sz w:val="28"/>
          <w:szCs w:val="28"/>
        </w:rPr>
      </w:pPr>
    </w:p>
    <w:p w14:paraId="0E637316" w14:textId="6D6A31D1" w:rsidR="00333FAA" w:rsidRPr="00F4345E" w:rsidRDefault="006554D5" w:rsidP="00DE6CE2">
      <w:pPr>
        <w:pStyle w:val="Heading2"/>
        <w:keepNext/>
        <w:ind w:left="851" w:hanging="851"/>
        <w:rPr>
          <w:rFonts w:ascii="Arial" w:hAnsi="Arial"/>
          <w:sz w:val="28"/>
          <w:szCs w:val="28"/>
        </w:rPr>
      </w:pPr>
      <w:r>
        <w:rPr>
          <w:rFonts w:ascii="Arial" w:hAnsi="Arial"/>
          <w:sz w:val="28"/>
          <w:szCs w:val="28"/>
        </w:rPr>
        <w:t>4.0</w:t>
      </w:r>
      <w:r>
        <w:rPr>
          <w:rFonts w:ascii="Arial" w:hAnsi="Arial"/>
          <w:sz w:val="28"/>
          <w:szCs w:val="28"/>
        </w:rPr>
        <w:tab/>
      </w:r>
      <w:r w:rsidR="00333FAA" w:rsidRPr="00F4345E">
        <w:rPr>
          <w:rFonts w:ascii="Arial" w:hAnsi="Arial"/>
          <w:sz w:val="28"/>
          <w:szCs w:val="28"/>
        </w:rPr>
        <w:t>Current situation</w:t>
      </w:r>
    </w:p>
    <w:p w14:paraId="686FAE91" w14:textId="77777777" w:rsidR="006554D5" w:rsidRDefault="006554D5" w:rsidP="00DE6CE2">
      <w:pPr>
        <w:keepNext/>
        <w:ind w:left="851" w:hanging="851"/>
      </w:pPr>
    </w:p>
    <w:p w14:paraId="6521AC88" w14:textId="249E5DC2" w:rsidR="00313570" w:rsidRPr="00BB4201" w:rsidRDefault="00421CE9" w:rsidP="006554D5">
      <w:pPr>
        <w:ind w:left="851" w:hanging="851"/>
        <w:rPr>
          <w:szCs w:val="24"/>
        </w:rPr>
      </w:pPr>
      <w:r w:rsidRPr="00BB4201">
        <w:rPr>
          <w:szCs w:val="24"/>
        </w:rPr>
        <w:t>4.1</w:t>
      </w:r>
      <w:r w:rsidRPr="00BB4201">
        <w:rPr>
          <w:szCs w:val="24"/>
        </w:rPr>
        <w:tab/>
      </w:r>
      <w:r w:rsidR="00313570" w:rsidRPr="00BB4201">
        <w:rPr>
          <w:szCs w:val="24"/>
        </w:rPr>
        <w:t xml:space="preserve">The Council has previously committed to a review of its Local Plan in the context of policy changes </w:t>
      </w:r>
      <w:r w:rsidR="00610CC0" w:rsidRPr="00BB4201">
        <w:rPr>
          <w:szCs w:val="24"/>
        </w:rPr>
        <w:t xml:space="preserve">at </w:t>
      </w:r>
      <w:r w:rsidR="001A4661" w:rsidRPr="00BB4201">
        <w:rPr>
          <w:szCs w:val="24"/>
        </w:rPr>
        <w:t>national and spatial</w:t>
      </w:r>
      <w:r w:rsidR="00526663" w:rsidRPr="00BB4201">
        <w:rPr>
          <w:szCs w:val="24"/>
        </w:rPr>
        <w:t xml:space="preserve"> </w:t>
      </w:r>
      <w:r w:rsidR="00763121" w:rsidRPr="00BB4201">
        <w:rPr>
          <w:szCs w:val="24"/>
        </w:rPr>
        <w:t>(regional) levels.</w:t>
      </w:r>
      <w:r w:rsidR="00313570" w:rsidRPr="00BB4201">
        <w:rPr>
          <w:szCs w:val="24"/>
        </w:rPr>
        <w:t xml:space="preserve"> The London Plan 2021 for example introduced a specific policy relating to tall buildings (Policy</w:t>
      </w:r>
      <w:r w:rsidR="007226A2" w:rsidRPr="00BB4201">
        <w:rPr>
          <w:szCs w:val="24"/>
        </w:rPr>
        <w:t> </w:t>
      </w:r>
      <w:r w:rsidR="00313570" w:rsidRPr="00BB4201">
        <w:rPr>
          <w:szCs w:val="24"/>
        </w:rPr>
        <w:t>D9) that emphasises the role of Local Plans in defining tall buildings (having regard to local context)</w:t>
      </w:r>
      <w:r w:rsidR="00DE748A" w:rsidRPr="00BB4201">
        <w:rPr>
          <w:szCs w:val="24"/>
        </w:rPr>
        <w:t>,</w:t>
      </w:r>
      <w:r w:rsidR="00313570" w:rsidRPr="00BB4201">
        <w:rPr>
          <w:szCs w:val="24"/>
        </w:rPr>
        <w:t xml:space="preserve"> identifying appropriate locations for tall buildings and the importance of good design. At present the Harrow Local Plan only specifically identifies the Harrow and Wealdstone Opportunity Area as being appropriate for tall buildings (defined within that area as being 30 metres or more).</w:t>
      </w:r>
    </w:p>
    <w:p w14:paraId="65F6253A" w14:textId="77777777" w:rsidR="00E97AEE" w:rsidRPr="00BB4201" w:rsidRDefault="00E97AEE" w:rsidP="006554D5">
      <w:pPr>
        <w:ind w:left="851" w:hanging="851"/>
        <w:rPr>
          <w:szCs w:val="24"/>
        </w:rPr>
      </w:pPr>
    </w:p>
    <w:p w14:paraId="57E4D6F0" w14:textId="1308C65B" w:rsidR="00313570" w:rsidRPr="00BB4201" w:rsidRDefault="00421CE9" w:rsidP="00BB4201">
      <w:pPr>
        <w:keepLines/>
        <w:ind w:left="851" w:hanging="851"/>
        <w:rPr>
          <w:szCs w:val="24"/>
        </w:rPr>
      </w:pPr>
      <w:r w:rsidRPr="00BB4201">
        <w:rPr>
          <w:szCs w:val="24"/>
        </w:rPr>
        <w:lastRenderedPageBreak/>
        <w:t>4.2</w:t>
      </w:r>
      <w:r w:rsidRPr="00BB4201">
        <w:rPr>
          <w:szCs w:val="24"/>
        </w:rPr>
        <w:tab/>
      </w:r>
      <w:r w:rsidR="00313570" w:rsidRPr="00BB4201">
        <w:rPr>
          <w:szCs w:val="24"/>
        </w:rPr>
        <w:t>In response to the London Plan, the Council has to-date completed a Characterisation and Tall Buildings Study for the borough; this will form part of the evidence base for the Local Plan review</w:t>
      </w:r>
      <w:r w:rsidR="00FC3F3C" w:rsidRPr="00BB4201">
        <w:rPr>
          <w:szCs w:val="24"/>
        </w:rPr>
        <w:t xml:space="preserve">. </w:t>
      </w:r>
      <w:r w:rsidR="002A5750" w:rsidRPr="00BB4201">
        <w:rPr>
          <w:szCs w:val="24"/>
        </w:rPr>
        <w:t>However,</w:t>
      </w:r>
      <w:r w:rsidR="00EF0FA4" w:rsidRPr="00BB4201">
        <w:rPr>
          <w:szCs w:val="24"/>
        </w:rPr>
        <w:t xml:space="preserve"> it will be </w:t>
      </w:r>
      <w:r w:rsidR="00EE5927" w:rsidRPr="00BB4201">
        <w:rPr>
          <w:szCs w:val="24"/>
        </w:rPr>
        <w:t>at least two</w:t>
      </w:r>
      <w:r w:rsidR="00EF0FA4" w:rsidRPr="00BB4201">
        <w:rPr>
          <w:szCs w:val="24"/>
        </w:rPr>
        <w:t xml:space="preserve"> years before</w:t>
      </w:r>
      <w:r w:rsidR="00EE5927" w:rsidRPr="00BB4201">
        <w:rPr>
          <w:szCs w:val="24"/>
        </w:rPr>
        <w:t xml:space="preserve"> this review is complete</w:t>
      </w:r>
      <w:r w:rsidR="009218D7" w:rsidRPr="00BB4201">
        <w:rPr>
          <w:szCs w:val="24"/>
        </w:rPr>
        <w:t xml:space="preserve"> and the </w:t>
      </w:r>
      <w:r w:rsidR="00072123" w:rsidRPr="00BB4201">
        <w:rPr>
          <w:szCs w:val="24"/>
        </w:rPr>
        <w:t>replacement Local Plan adopted</w:t>
      </w:r>
      <w:r w:rsidR="00313570" w:rsidRPr="00BB4201">
        <w:rPr>
          <w:szCs w:val="24"/>
        </w:rPr>
        <w:t>.</w:t>
      </w:r>
    </w:p>
    <w:p w14:paraId="1842CA71" w14:textId="77777777" w:rsidR="00333FAA" w:rsidRPr="00BB4201" w:rsidRDefault="00333FAA" w:rsidP="006554D5">
      <w:pPr>
        <w:ind w:left="851" w:hanging="851"/>
        <w:rPr>
          <w:rFonts w:cs="Arial"/>
          <w:szCs w:val="24"/>
        </w:rPr>
      </w:pPr>
    </w:p>
    <w:p w14:paraId="492EE0C6" w14:textId="577EB001" w:rsidR="0045579D" w:rsidRPr="00BB4201" w:rsidRDefault="00421CE9" w:rsidP="006554D5">
      <w:pPr>
        <w:ind w:left="851" w:hanging="851"/>
        <w:rPr>
          <w:rFonts w:cs="Arial"/>
          <w:szCs w:val="24"/>
        </w:rPr>
      </w:pPr>
      <w:r w:rsidRPr="00BB4201">
        <w:rPr>
          <w:szCs w:val="24"/>
        </w:rPr>
        <w:t>4.</w:t>
      </w:r>
      <w:r w:rsidR="003C56C8" w:rsidRPr="00BB4201">
        <w:rPr>
          <w:szCs w:val="24"/>
        </w:rPr>
        <w:t>3</w:t>
      </w:r>
      <w:r w:rsidRPr="00BB4201">
        <w:rPr>
          <w:szCs w:val="24"/>
        </w:rPr>
        <w:tab/>
      </w:r>
      <w:r w:rsidR="00D25CC2" w:rsidRPr="00BB4201">
        <w:rPr>
          <w:szCs w:val="24"/>
        </w:rPr>
        <w:t>In terms of residential conversions, u</w:t>
      </w:r>
      <w:r w:rsidR="0045579D" w:rsidRPr="00BB4201">
        <w:rPr>
          <w:szCs w:val="24"/>
        </w:rPr>
        <w:t xml:space="preserve">pdated design guidance in relation to small sites and householder development was consulted on in December 2021 – January 2022. The draft guidance covers a range of design considerations that are applicable to </w:t>
      </w:r>
      <w:r w:rsidR="00D25CC2" w:rsidRPr="00BB4201">
        <w:rPr>
          <w:szCs w:val="24"/>
        </w:rPr>
        <w:t xml:space="preserve">residential </w:t>
      </w:r>
      <w:r w:rsidR="0045579D" w:rsidRPr="00BB4201">
        <w:rPr>
          <w:szCs w:val="24"/>
        </w:rPr>
        <w:t>conversions</w:t>
      </w:r>
      <w:r w:rsidR="001D76DC" w:rsidRPr="00BB4201">
        <w:rPr>
          <w:szCs w:val="24"/>
        </w:rPr>
        <w:t xml:space="preserve">. </w:t>
      </w:r>
      <w:r w:rsidR="00D6628F" w:rsidRPr="00BB4201">
        <w:rPr>
          <w:szCs w:val="24"/>
        </w:rPr>
        <w:t>However,</w:t>
      </w:r>
      <w:r w:rsidR="001D76DC" w:rsidRPr="00BB4201">
        <w:rPr>
          <w:szCs w:val="24"/>
        </w:rPr>
        <w:t xml:space="preserve"> this is in </w:t>
      </w:r>
      <w:r w:rsidR="00183034" w:rsidRPr="00BB4201">
        <w:rPr>
          <w:szCs w:val="24"/>
        </w:rPr>
        <w:t xml:space="preserve">a </w:t>
      </w:r>
      <w:r w:rsidR="001D76DC" w:rsidRPr="00BB4201">
        <w:rPr>
          <w:szCs w:val="24"/>
        </w:rPr>
        <w:t xml:space="preserve">more general context and hence the necessity the need to adopt specific guidance </w:t>
      </w:r>
      <w:r w:rsidR="00D6628F" w:rsidRPr="00BB4201">
        <w:rPr>
          <w:szCs w:val="24"/>
        </w:rPr>
        <w:t xml:space="preserve">about the quality of </w:t>
      </w:r>
      <w:r w:rsidR="005E388D" w:rsidRPr="00BB4201">
        <w:rPr>
          <w:szCs w:val="24"/>
        </w:rPr>
        <w:t>residential conversions</w:t>
      </w:r>
      <w:r w:rsidR="00D6628F" w:rsidRPr="00BB4201">
        <w:rPr>
          <w:szCs w:val="24"/>
        </w:rPr>
        <w:t>.</w:t>
      </w:r>
    </w:p>
    <w:p w14:paraId="032B5A74" w14:textId="77777777" w:rsidR="009F7B52" w:rsidRPr="00F4345E" w:rsidRDefault="009F7B52" w:rsidP="006554D5">
      <w:pPr>
        <w:ind w:left="851" w:hanging="851"/>
        <w:rPr>
          <w:rFonts w:cs="Arial"/>
          <w:sz w:val="28"/>
          <w:szCs w:val="28"/>
        </w:rPr>
      </w:pPr>
    </w:p>
    <w:p w14:paraId="555D1469" w14:textId="108732BB" w:rsidR="00333FAA" w:rsidRPr="00F4345E" w:rsidRDefault="00421CE9" w:rsidP="00DE6CE2">
      <w:pPr>
        <w:pStyle w:val="Heading2"/>
        <w:keepNext/>
        <w:ind w:left="851" w:hanging="851"/>
        <w:rPr>
          <w:rFonts w:ascii="Arial" w:hAnsi="Arial"/>
          <w:sz w:val="28"/>
          <w:szCs w:val="28"/>
        </w:rPr>
      </w:pPr>
      <w:r>
        <w:rPr>
          <w:rFonts w:ascii="Arial" w:hAnsi="Arial"/>
          <w:sz w:val="28"/>
          <w:szCs w:val="28"/>
        </w:rPr>
        <w:t>5.0</w:t>
      </w:r>
      <w:r>
        <w:rPr>
          <w:rFonts w:ascii="Arial" w:hAnsi="Arial"/>
          <w:sz w:val="28"/>
          <w:szCs w:val="28"/>
        </w:rPr>
        <w:tab/>
      </w:r>
      <w:r w:rsidR="00333FAA" w:rsidRPr="00F4345E">
        <w:rPr>
          <w:rFonts w:ascii="Arial" w:hAnsi="Arial"/>
          <w:sz w:val="28"/>
          <w:szCs w:val="28"/>
        </w:rPr>
        <w:t>Why a change is needed</w:t>
      </w:r>
    </w:p>
    <w:p w14:paraId="6EE4E54C" w14:textId="77777777" w:rsidR="00333FAA" w:rsidRPr="00F4345E" w:rsidRDefault="00333FAA" w:rsidP="00DE6CE2">
      <w:pPr>
        <w:keepNext/>
        <w:ind w:left="851" w:hanging="851"/>
      </w:pPr>
    </w:p>
    <w:p w14:paraId="464FDBF6" w14:textId="533DA12F" w:rsidR="00A91C4A" w:rsidRPr="00F4345E" w:rsidRDefault="00421CE9" w:rsidP="006554D5">
      <w:pPr>
        <w:ind w:left="851" w:hanging="851"/>
      </w:pPr>
      <w:r>
        <w:t>5.1</w:t>
      </w:r>
      <w:r>
        <w:tab/>
      </w:r>
      <w:r w:rsidR="00A91C4A" w:rsidRPr="00F4345E">
        <w:t xml:space="preserve">The Local Plan process </w:t>
      </w:r>
      <w:r w:rsidR="00AA7B14" w:rsidRPr="00F4345E">
        <w:t xml:space="preserve">can span several years as it involves evidence gathering, </w:t>
      </w:r>
      <w:r w:rsidR="00226F99" w:rsidRPr="00F4345E">
        <w:t>policy development, at least two statutory periods of consultation and independent examination of the draft Local Plan by the Planning Inspectorate (which may also trigger further consultation).</w:t>
      </w:r>
    </w:p>
    <w:p w14:paraId="5B330750" w14:textId="77777777" w:rsidR="00226F99" w:rsidRPr="00F4345E" w:rsidRDefault="00226F99" w:rsidP="006554D5">
      <w:pPr>
        <w:ind w:left="851" w:hanging="851"/>
      </w:pPr>
    </w:p>
    <w:p w14:paraId="270320C0" w14:textId="3233051C" w:rsidR="00226F99" w:rsidRPr="00F4345E" w:rsidRDefault="00421CE9" w:rsidP="006554D5">
      <w:pPr>
        <w:ind w:left="851" w:hanging="851"/>
      </w:pPr>
      <w:r>
        <w:t>5.2</w:t>
      </w:r>
      <w:r>
        <w:tab/>
      </w:r>
      <w:r w:rsidR="00533463">
        <w:t>Applications</w:t>
      </w:r>
      <w:r w:rsidR="00533463" w:rsidRPr="00F4345E">
        <w:t xml:space="preserve"> </w:t>
      </w:r>
      <w:r w:rsidR="004C2D87" w:rsidRPr="00F4345E">
        <w:t xml:space="preserve">for tall buildings are coming forward </w:t>
      </w:r>
      <w:r w:rsidR="00CE3EA7" w:rsidRPr="00F4345E">
        <w:t xml:space="preserve">in the meantime, with limited guidance </w:t>
      </w:r>
      <w:r w:rsidR="00694897">
        <w:t xml:space="preserve">(especially outside the Harrow and Wealdstone Opportunity Area) </w:t>
      </w:r>
      <w:r w:rsidR="00ED5AD6" w:rsidRPr="00F4345E">
        <w:t xml:space="preserve">in the current Local Plan context. </w:t>
      </w:r>
    </w:p>
    <w:p w14:paraId="6A853E60" w14:textId="77777777" w:rsidR="00A91C4A" w:rsidRPr="00F4345E" w:rsidRDefault="00A91C4A" w:rsidP="006554D5">
      <w:pPr>
        <w:ind w:left="851" w:hanging="851"/>
      </w:pPr>
    </w:p>
    <w:p w14:paraId="22895C89" w14:textId="6292F3E1" w:rsidR="007B1B47" w:rsidRPr="00F4345E" w:rsidRDefault="00421CE9" w:rsidP="00DE6CE2">
      <w:pPr>
        <w:pStyle w:val="Heading2"/>
        <w:keepNext/>
        <w:ind w:left="851" w:hanging="851"/>
        <w:rPr>
          <w:rFonts w:ascii="Arial" w:hAnsi="Arial"/>
          <w:sz w:val="28"/>
          <w:szCs w:val="28"/>
        </w:rPr>
      </w:pPr>
      <w:r>
        <w:rPr>
          <w:rFonts w:ascii="Arial" w:hAnsi="Arial"/>
          <w:sz w:val="28"/>
          <w:szCs w:val="28"/>
        </w:rPr>
        <w:t>6.0</w:t>
      </w:r>
      <w:r>
        <w:rPr>
          <w:rFonts w:ascii="Arial" w:hAnsi="Arial"/>
          <w:sz w:val="28"/>
          <w:szCs w:val="28"/>
        </w:rPr>
        <w:tab/>
      </w:r>
      <w:r w:rsidR="007B1B47" w:rsidRPr="00F4345E">
        <w:rPr>
          <w:rFonts w:ascii="Arial" w:hAnsi="Arial"/>
          <w:sz w:val="28"/>
          <w:szCs w:val="28"/>
        </w:rPr>
        <w:t>Propos</w:t>
      </w:r>
      <w:r w:rsidR="00137CD6" w:rsidRPr="00F4345E">
        <w:rPr>
          <w:rFonts w:ascii="Arial" w:hAnsi="Arial"/>
          <w:sz w:val="28"/>
          <w:szCs w:val="28"/>
        </w:rPr>
        <w:t>ed action</w:t>
      </w:r>
    </w:p>
    <w:p w14:paraId="0AAFB8B5" w14:textId="77777777" w:rsidR="007B1B47" w:rsidRPr="00F4345E" w:rsidRDefault="007B1B47" w:rsidP="00DE6CE2">
      <w:pPr>
        <w:keepNext/>
        <w:ind w:left="851" w:hanging="851"/>
      </w:pPr>
    </w:p>
    <w:p w14:paraId="4021D97C" w14:textId="28E0BD76" w:rsidR="007B1B47" w:rsidRPr="00F4345E" w:rsidRDefault="00421CE9" w:rsidP="006554D5">
      <w:pPr>
        <w:ind w:left="851" w:hanging="851"/>
      </w:pPr>
      <w:r>
        <w:t>6.1</w:t>
      </w:r>
      <w:r>
        <w:tab/>
      </w:r>
      <w:r w:rsidR="00B06490" w:rsidRPr="00F4345E">
        <w:t xml:space="preserve">It is proposed to prepare and adopt more immediate guidance in relation to tall buildings and </w:t>
      </w:r>
      <w:r w:rsidR="00333859" w:rsidRPr="00F4345E">
        <w:t>residential conversions.</w:t>
      </w:r>
    </w:p>
    <w:p w14:paraId="0B78A694" w14:textId="77777777" w:rsidR="00333859" w:rsidRPr="00F4345E" w:rsidRDefault="00333859" w:rsidP="006554D5">
      <w:pPr>
        <w:ind w:left="851" w:hanging="851"/>
      </w:pPr>
    </w:p>
    <w:p w14:paraId="102009D7" w14:textId="768BCC02" w:rsidR="00333859" w:rsidRPr="00F4345E" w:rsidRDefault="00333859" w:rsidP="00DE6CE2">
      <w:pPr>
        <w:keepNext/>
        <w:ind w:left="851"/>
        <w:rPr>
          <w:i/>
          <w:iCs/>
        </w:rPr>
      </w:pPr>
      <w:r w:rsidRPr="00F4345E">
        <w:rPr>
          <w:i/>
          <w:iCs/>
        </w:rPr>
        <w:t>Tall Buildings</w:t>
      </w:r>
    </w:p>
    <w:p w14:paraId="2CCF0E0B" w14:textId="77777777" w:rsidR="00333859" w:rsidRPr="00F4345E" w:rsidRDefault="00333859" w:rsidP="00DE6CE2">
      <w:pPr>
        <w:keepNext/>
        <w:ind w:left="851" w:hanging="851"/>
      </w:pPr>
    </w:p>
    <w:p w14:paraId="502F0F27" w14:textId="030CDFC2" w:rsidR="008A7E31" w:rsidRPr="00F4345E" w:rsidRDefault="0020340E" w:rsidP="006554D5">
      <w:pPr>
        <w:ind w:left="851" w:hanging="851"/>
      </w:pPr>
      <w:r>
        <w:t>6.2</w:t>
      </w:r>
      <w:r>
        <w:tab/>
      </w:r>
      <w:r w:rsidR="008A7E31" w:rsidRPr="00F4345E">
        <w:t>The</w:t>
      </w:r>
      <w:r w:rsidR="00763631">
        <w:t xml:space="preserve"> proposed </w:t>
      </w:r>
      <w:r w:rsidR="008A7E31" w:rsidRPr="00F4345E">
        <w:t xml:space="preserve">more immediate measures </w:t>
      </w:r>
      <w:r w:rsidR="00F66AA4">
        <w:t xml:space="preserve">relating to tall buildings </w:t>
      </w:r>
      <w:r w:rsidR="008A7E31" w:rsidRPr="00F4345E">
        <w:t xml:space="preserve">will </w:t>
      </w:r>
      <w:r w:rsidR="00B04ABE">
        <w:t xml:space="preserve">provide </w:t>
      </w:r>
      <w:r w:rsidR="009F1161">
        <w:t>greater</w:t>
      </w:r>
      <w:r w:rsidR="00B04ABE">
        <w:t xml:space="preserve"> clarity with respect to what the Council considers to be acceptable in relation to the character of the area</w:t>
      </w:r>
      <w:r w:rsidR="008A7E31" w:rsidRPr="00F4345E">
        <w:t xml:space="preserve">. Matters likely to be covered include what constitutes a tall or taller building, relative to its context / location in the borough, factors to be considered in determining the suitability of tall or taller buildings </w:t>
      </w:r>
      <w:proofErr w:type="gramStart"/>
      <w:r w:rsidR="008A7E31" w:rsidRPr="00F4345E">
        <w:t>in a given</w:t>
      </w:r>
      <w:proofErr w:type="gramEnd"/>
      <w:r w:rsidR="008A7E31" w:rsidRPr="00F4345E">
        <w:t xml:space="preserve"> location, and design requirements</w:t>
      </w:r>
      <w:r w:rsidR="0019292E">
        <w:t>.</w:t>
      </w:r>
    </w:p>
    <w:p w14:paraId="55347EB3" w14:textId="77777777" w:rsidR="008A7E31" w:rsidRPr="00F4345E" w:rsidRDefault="008A7E31" w:rsidP="006554D5">
      <w:pPr>
        <w:ind w:left="851" w:hanging="851"/>
      </w:pPr>
    </w:p>
    <w:p w14:paraId="1B43CFA9" w14:textId="2885FF43" w:rsidR="008A7E31" w:rsidRPr="00F4345E" w:rsidRDefault="00314038" w:rsidP="006554D5">
      <w:pPr>
        <w:ind w:left="851" w:hanging="851"/>
      </w:pPr>
      <w:r>
        <w:t>6.</w:t>
      </w:r>
      <w:r w:rsidR="00194343">
        <w:t>3</w:t>
      </w:r>
      <w:r>
        <w:tab/>
      </w:r>
      <w:r w:rsidR="008A7E31" w:rsidRPr="00F4345E">
        <w:t>In providing guidance, the SPD will draw upon the existing development plan (London Plan 2021 and Harrow Local Plan) and the National Planning Policy Framework</w:t>
      </w:r>
      <w:r w:rsidR="00E638DF">
        <w:t xml:space="preserve"> (NPPF)</w:t>
      </w:r>
      <w:r w:rsidR="008A7E31" w:rsidRPr="00F4345E">
        <w:t xml:space="preserve">. This will include providing tall building specific guidance on Harrow Local Plan Policy DM1 (All Development) and building upon the principles of London Plan Policy D9 (Tall Buildings). It will also draw upon the Characterisation and Tall Buildings Study where appropriate. </w:t>
      </w:r>
    </w:p>
    <w:p w14:paraId="2604C12F" w14:textId="77777777" w:rsidR="008A7E31" w:rsidRPr="00F4345E" w:rsidRDefault="008A7E31" w:rsidP="006554D5">
      <w:pPr>
        <w:ind w:left="851" w:hanging="851"/>
      </w:pPr>
    </w:p>
    <w:p w14:paraId="071DE43D" w14:textId="037F6650" w:rsidR="008A7E31" w:rsidRPr="00F4345E" w:rsidRDefault="00314038" w:rsidP="006554D5">
      <w:pPr>
        <w:ind w:left="851" w:hanging="851"/>
      </w:pPr>
      <w:r w:rsidRPr="00AC176F">
        <w:t>6.</w:t>
      </w:r>
      <w:r w:rsidR="00194343">
        <w:t>4</w:t>
      </w:r>
      <w:r w:rsidRPr="00AC176F">
        <w:tab/>
      </w:r>
      <w:r w:rsidR="008A7E31" w:rsidRPr="00AC176F">
        <w:t xml:space="preserve">It is proposed that a draft of the SPD will be reported to Cabinet </w:t>
      </w:r>
      <w:r w:rsidR="00460B93">
        <w:t>at the earliest opportunity</w:t>
      </w:r>
      <w:r w:rsidR="00112484">
        <w:t xml:space="preserve"> given the urgency </w:t>
      </w:r>
      <w:r w:rsidR="007019E6">
        <w:t xml:space="preserve">to bring in local </w:t>
      </w:r>
      <w:r w:rsidR="00A34F9B">
        <w:t xml:space="preserve">guidance. </w:t>
      </w:r>
    </w:p>
    <w:p w14:paraId="6250CACD" w14:textId="77777777" w:rsidR="00333859" w:rsidRPr="00F4345E" w:rsidRDefault="00333859" w:rsidP="006554D5">
      <w:pPr>
        <w:ind w:left="851" w:hanging="851"/>
      </w:pPr>
    </w:p>
    <w:p w14:paraId="5FEC9F2B" w14:textId="60401A0D" w:rsidR="007B1B47" w:rsidRPr="00F4345E" w:rsidRDefault="001230C0" w:rsidP="00DE6CE2">
      <w:pPr>
        <w:keepNext/>
        <w:ind w:left="851"/>
        <w:rPr>
          <w:i/>
          <w:iCs/>
        </w:rPr>
      </w:pPr>
      <w:r w:rsidRPr="00F4345E">
        <w:rPr>
          <w:i/>
          <w:iCs/>
        </w:rPr>
        <w:t>Residential Conversions</w:t>
      </w:r>
    </w:p>
    <w:p w14:paraId="39994A02" w14:textId="77777777" w:rsidR="001230C0" w:rsidRPr="00F4345E" w:rsidRDefault="001230C0" w:rsidP="00DE6CE2">
      <w:pPr>
        <w:keepNext/>
        <w:ind w:left="851" w:hanging="851"/>
      </w:pPr>
    </w:p>
    <w:p w14:paraId="73687EAE" w14:textId="6447A13F" w:rsidR="002754C3" w:rsidRPr="00F4345E" w:rsidRDefault="006541A3" w:rsidP="006554D5">
      <w:pPr>
        <w:ind w:left="851" w:hanging="851"/>
      </w:pPr>
      <w:r>
        <w:t>6.</w:t>
      </w:r>
      <w:r w:rsidR="00194343">
        <w:t>5</w:t>
      </w:r>
      <w:r>
        <w:tab/>
      </w:r>
      <w:r w:rsidR="002754C3" w:rsidRPr="00F4345E">
        <w:t xml:space="preserve">As noted </w:t>
      </w:r>
      <w:r w:rsidR="00042770">
        <w:t xml:space="preserve">in paragraph 4.3 </w:t>
      </w:r>
      <w:r w:rsidR="002754C3" w:rsidRPr="00F4345E">
        <w:t>above, updated design guidance in relation to small sites and householder development was consulted on in December 2021 – January 2022. The draft guidance covers a range of design considerations that are applicable to conversions, but in a general sense. It is proposed to develop specific guidance relating to conversions for inclusion in any amended draft presented to Cabinet for adoption.</w:t>
      </w:r>
    </w:p>
    <w:p w14:paraId="412E451C" w14:textId="77777777" w:rsidR="002754C3" w:rsidRPr="00F4345E" w:rsidRDefault="002754C3" w:rsidP="006554D5">
      <w:pPr>
        <w:ind w:left="851" w:hanging="851"/>
      </w:pPr>
    </w:p>
    <w:p w14:paraId="7AA5D530" w14:textId="10C1F684" w:rsidR="00307F76" w:rsidRPr="00F4345E" w:rsidRDefault="006541A3" w:rsidP="00DE6CE2">
      <w:pPr>
        <w:keepNext/>
        <w:ind w:left="851" w:hanging="851"/>
        <w:rPr>
          <w:b/>
          <w:szCs w:val="24"/>
        </w:rPr>
      </w:pPr>
      <w:r>
        <w:rPr>
          <w:b/>
          <w:szCs w:val="24"/>
        </w:rPr>
        <w:t>7.0</w:t>
      </w:r>
      <w:r>
        <w:rPr>
          <w:b/>
          <w:szCs w:val="24"/>
        </w:rPr>
        <w:tab/>
      </w:r>
      <w:r w:rsidR="00307F76" w:rsidRPr="00F4345E">
        <w:rPr>
          <w:b/>
          <w:szCs w:val="24"/>
        </w:rPr>
        <w:t xml:space="preserve">Ward Councillors’ comments </w:t>
      </w:r>
    </w:p>
    <w:p w14:paraId="46F07B30" w14:textId="77777777" w:rsidR="00955421" w:rsidRPr="00F4345E" w:rsidRDefault="00955421" w:rsidP="00DE6CE2">
      <w:pPr>
        <w:keepNext/>
        <w:ind w:left="851" w:hanging="851"/>
      </w:pPr>
    </w:p>
    <w:p w14:paraId="6275A8B5" w14:textId="2F56E6E2" w:rsidR="00E9551B" w:rsidRPr="00F4345E" w:rsidRDefault="006541A3" w:rsidP="006554D5">
      <w:pPr>
        <w:ind w:left="851" w:hanging="851"/>
      </w:pPr>
      <w:r>
        <w:t>7.1</w:t>
      </w:r>
      <w:r>
        <w:tab/>
      </w:r>
      <w:r w:rsidR="009C0B00" w:rsidRPr="00F4345E">
        <w:t xml:space="preserve">Ward Councillor input will be sought during the preparation of guidance and </w:t>
      </w:r>
      <w:r w:rsidR="00866E65" w:rsidRPr="00F4345E">
        <w:t>any formal consultation.</w:t>
      </w:r>
    </w:p>
    <w:p w14:paraId="6AD9F7F5" w14:textId="77777777" w:rsidR="00E9551B" w:rsidRPr="00F4345E" w:rsidRDefault="00E9551B" w:rsidP="006554D5">
      <w:pPr>
        <w:ind w:left="851" w:hanging="851"/>
      </w:pPr>
    </w:p>
    <w:p w14:paraId="482D5093" w14:textId="7F313AAE" w:rsidR="00333FAA" w:rsidRPr="00F4345E" w:rsidRDefault="005E12E9" w:rsidP="00DE6CE2">
      <w:pPr>
        <w:pStyle w:val="Heading4"/>
        <w:ind w:left="851" w:hanging="851"/>
        <w:rPr>
          <w:szCs w:val="24"/>
        </w:rPr>
      </w:pPr>
      <w:r>
        <w:rPr>
          <w:szCs w:val="24"/>
        </w:rPr>
        <w:t>8</w:t>
      </w:r>
      <w:r w:rsidR="00FA42EB">
        <w:rPr>
          <w:szCs w:val="24"/>
        </w:rPr>
        <w:t>.0</w:t>
      </w:r>
      <w:r w:rsidR="00FA42EB">
        <w:rPr>
          <w:szCs w:val="24"/>
        </w:rPr>
        <w:tab/>
      </w:r>
      <w:r w:rsidR="00333FAA" w:rsidRPr="00F4345E">
        <w:rPr>
          <w:szCs w:val="24"/>
        </w:rPr>
        <w:t>Environmental Implications</w:t>
      </w:r>
    </w:p>
    <w:p w14:paraId="68389224" w14:textId="77777777" w:rsidR="005060A3" w:rsidRPr="00F4345E" w:rsidRDefault="005060A3" w:rsidP="00DE6CE2">
      <w:pPr>
        <w:keepNext/>
        <w:ind w:left="851" w:hanging="851"/>
      </w:pPr>
    </w:p>
    <w:p w14:paraId="0D78E7BB" w14:textId="1EA5209F" w:rsidR="00F26E3E" w:rsidRPr="00F4345E" w:rsidRDefault="005E12E9" w:rsidP="006554D5">
      <w:pPr>
        <w:ind w:left="851" w:hanging="851"/>
        <w:rPr>
          <w:rStyle w:val="normaltextrun"/>
          <w:rFonts w:cs="Arial"/>
        </w:rPr>
      </w:pPr>
      <w:r>
        <w:t>8</w:t>
      </w:r>
      <w:r w:rsidR="00FA42EB">
        <w:t>.1</w:t>
      </w:r>
      <w:r w:rsidR="00FA42EB">
        <w:tab/>
      </w:r>
      <w:r w:rsidR="004548E6" w:rsidRPr="00F4345E">
        <w:t>Proposed guidance and accompanying Cabinet reports will address environmental implications where appropr</w:t>
      </w:r>
      <w:r w:rsidR="00F26E3E" w:rsidRPr="00F4345E">
        <w:t>iate.</w:t>
      </w:r>
    </w:p>
    <w:p w14:paraId="55359986" w14:textId="77777777" w:rsidR="001B0246" w:rsidRPr="00137DD0" w:rsidRDefault="001B0246" w:rsidP="001B41C9">
      <w:pPr>
        <w:ind w:left="851" w:hanging="851"/>
        <w:rPr>
          <w:szCs w:val="24"/>
        </w:rPr>
      </w:pPr>
    </w:p>
    <w:p w14:paraId="44413A6E" w14:textId="59C2B653" w:rsidR="00333FAA" w:rsidRPr="00137DD0" w:rsidRDefault="00D12665" w:rsidP="00DE6CE2">
      <w:pPr>
        <w:pStyle w:val="Heading4"/>
        <w:ind w:left="851" w:hanging="851"/>
        <w:rPr>
          <w:szCs w:val="24"/>
        </w:rPr>
      </w:pPr>
      <w:r>
        <w:rPr>
          <w:szCs w:val="24"/>
        </w:rPr>
        <w:t>9</w:t>
      </w:r>
      <w:r w:rsidR="001B0246">
        <w:rPr>
          <w:szCs w:val="24"/>
        </w:rPr>
        <w:t>.0</w:t>
      </w:r>
      <w:r w:rsidR="001B0246">
        <w:rPr>
          <w:szCs w:val="24"/>
        </w:rPr>
        <w:tab/>
      </w:r>
      <w:r w:rsidR="00333FAA" w:rsidRPr="00137DD0">
        <w:rPr>
          <w:szCs w:val="24"/>
        </w:rPr>
        <w:t>Legal Implications</w:t>
      </w:r>
    </w:p>
    <w:p w14:paraId="79B2471C" w14:textId="77777777" w:rsidR="00F6686F" w:rsidRDefault="00F6686F" w:rsidP="00DE6CE2">
      <w:pPr>
        <w:keepNext/>
        <w:ind w:left="851" w:hanging="851"/>
        <w:rPr>
          <w:szCs w:val="24"/>
        </w:rPr>
      </w:pPr>
    </w:p>
    <w:p w14:paraId="57489B15" w14:textId="3BA1E87A" w:rsidR="00937210" w:rsidRPr="00137DD0" w:rsidRDefault="00D12665" w:rsidP="001B41C9">
      <w:pPr>
        <w:ind w:left="851" w:hanging="851"/>
        <w:rPr>
          <w:szCs w:val="24"/>
        </w:rPr>
      </w:pPr>
      <w:r>
        <w:rPr>
          <w:szCs w:val="24"/>
        </w:rPr>
        <w:t>9</w:t>
      </w:r>
      <w:r w:rsidR="001B0246">
        <w:rPr>
          <w:szCs w:val="24"/>
        </w:rPr>
        <w:t>.1</w:t>
      </w:r>
      <w:r w:rsidR="001B0246">
        <w:rPr>
          <w:szCs w:val="24"/>
        </w:rPr>
        <w:tab/>
      </w:r>
      <w:r w:rsidR="00937210" w:rsidRPr="00137DD0">
        <w:rPr>
          <w:szCs w:val="24"/>
        </w:rPr>
        <w:t>Section 38(6) of the Planning and Compulsory Purchase Act (2004) states that, if regard is to be had to the development plan for the purpose of any determination to be made under the planning Acts, the determination must be made in accordance with the plan unless material considerations indicate otherwise.</w:t>
      </w:r>
    </w:p>
    <w:p w14:paraId="17725D75" w14:textId="77777777" w:rsidR="00937210" w:rsidRPr="00137DD0" w:rsidRDefault="00937210" w:rsidP="001B41C9">
      <w:pPr>
        <w:ind w:left="851" w:hanging="851"/>
        <w:rPr>
          <w:szCs w:val="24"/>
        </w:rPr>
      </w:pPr>
    </w:p>
    <w:p w14:paraId="19780967" w14:textId="05150CBF" w:rsidR="00937210" w:rsidRPr="00137DD0" w:rsidRDefault="00D12665" w:rsidP="001B41C9">
      <w:pPr>
        <w:ind w:left="851" w:hanging="851"/>
        <w:rPr>
          <w:szCs w:val="24"/>
        </w:rPr>
      </w:pPr>
      <w:r>
        <w:rPr>
          <w:szCs w:val="24"/>
        </w:rPr>
        <w:t>9</w:t>
      </w:r>
      <w:r w:rsidR="001B0246">
        <w:rPr>
          <w:szCs w:val="24"/>
        </w:rPr>
        <w:t>.2</w:t>
      </w:r>
      <w:r w:rsidR="001B0246">
        <w:rPr>
          <w:szCs w:val="24"/>
        </w:rPr>
        <w:tab/>
      </w:r>
      <w:r w:rsidR="00937210" w:rsidRPr="00137DD0">
        <w:rPr>
          <w:szCs w:val="24"/>
        </w:rPr>
        <w:t>The Town and Country Planning (Local Planning) (England) Regulations 2012 provide guidance on the preparation and adoption of supplementary planning documents.</w:t>
      </w:r>
    </w:p>
    <w:p w14:paraId="2D0D7B3A" w14:textId="77777777" w:rsidR="00937210" w:rsidRPr="00137DD0" w:rsidRDefault="00937210" w:rsidP="001B41C9">
      <w:pPr>
        <w:ind w:left="851" w:hanging="851"/>
        <w:rPr>
          <w:szCs w:val="24"/>
        </w:rPr>
      </w:pPr>
    </w:p>
    <w:p w14:paraId="793D2C7E" w14:textId="154976C6" w:rsidR="00937210" w:rsidRPr="00137DD0" w:rsidRDefault="00D12665" w:rsidP="001B41C9">
      <w:pPr>
        <w:ind w:left="851" w:hanging="851"/>
        <w:rPr>
          <w:szCs w:val="24"/>
        </w:rPr>
      </w:pPr>
      <w:r>
        <w:rPr>
          <w:szCs w:val="24"/>
        </w:rPr>
        <w:t>9</w:t>
      </w:r>
      <w:r w:rsidR="001B0246">
        <w:rPr>
          <w:szCs w:val="24"/>
        </w:rPr>
        <w:t>.3</w:t>
      </w:r>
      <w:r w:rsidR="001B0246">
        <w:rPr>
          <w:szCs w:val="24"/>
        </w:rPr>
        <w:tab/>
      </w:r>
      <w:r w:rsidR="00937210" w:rsidRPr="00137DD0">
        <w:rPr>
          <w:szCs w:val="24"/>
        </w:rPr>
        <w:t>Although the proposed SPD</w:t>
      </w:r>
      <w:r w:rsidR="00541C23" w:rsidRPr="00137DD0">
        <w:rPr>
          <w:szCs w:val="24"/>
        </w:rPr>
        <w:t xml:space="preserve">s are </w:t>
      </w:r>
      <w:r w:rsidR="00937210" w:rsidRPr="00137DD0">
        <w:rPr>
          <w:szCs w:val="24"/>
        </w:rPr>
        <w:t>not development plan document</w:t>
      </w:r>
      <w:r w:rsidR="00541C23" w:rsidRPr="00137DD0">
        <w:rPr>
          <w:szCs w:val="24"/>
        </w:rPr>
        <w:t>s</w:t>
      </w:r>
      <w:r w:rsidR="00937210" w:rsidRPr="00137DD0">
        <w:rPr>
          <w:szCs w:val="24"/>
        </w:rPr>
        <w:t xml:space="preserve"> </w:t>
      </w:r>
      <w:r w:rsidR="00541C23" w:rsidRPr="00137DD0">
        <w:rPr>
          <w:szCs w:val="24"/>
        </w:rPr>
        <w:t>they</w:t>
      </w:r>
      <w:r w:rsidR="00937210" w:rsidRPr="00137DD0">
        <w:rPr>
          <w:szCs w:val="24"/>
        </w:rPr>
        <w:t xml:space="preserve"> will, on adoption, be a material consideration in the determination of </w:t>
      </w:r>
      <w:r w:rsidR="00541C23" w:rsidRPr="00137DD0">
        <w:rPr>
          <w:szCs w:val="24"/>
        </w:rPr>
        <w:t>tall building and</w:t>
      </w:r>
      <w:r w:rsidR="00426359" w:rsidRPr="00137DD0">
        <w:rPr>
          <w:szCs w:val="24"/>
        </w:rPr>
        <w:t xml:space="preserve"> residential conversions </w:t>
      </w:r>
      <w:r w:rsidR="00937210" w:rsidRPr="00137DD0">
        <w:rPr>
          <w:szCs w:val="24"/>
        </w:rPr>
        <w:t xml:space="preserve">development proposals within Harrow. </w:t>
      </w:r>
    </w:p>
    <w:p w14:paraId="3AE0E877" w14:textId="77777777" w:rsidR="00937210" w:rsidRPr="00137DD0" w:rsidRDefault="00937210" w:rsidP="001B41C9">
      <w:pPr>
        <w:ind w:left="851" w:hanging="851"/>
        <w:rPr>
          <w:szCs w:val="24"/>
        </w:rPr>
      </w:pPr>
    </w:p>
    <w:p w14:paraId="156B68ED" w14:textId="4021938F" w:rsidR="00A1211C" w:rsidRDefault="00D12665" w:rsidP="001B41C9">
      <w:pPr>
        <w:ind w:left="851" w:hanging="851"/>
        <w:rPr>
          <w:szCs w:val="24"/>
        </w:rPr>
      </w:pPr>
      <w:r>
        <w:rPr>
          <w:szCs w:val="24"/>
        </w:rPr>
        <w:t>9</w:t>
      </w:r>
      <w:r w:rsidR="001B0246">
        <w:rPr>
          <w:szCs w:val="24"/>
        </w:rPr>
        <w:t>.4</w:t>
      </w:r>
      <w:r w:rsidR="001B0246">
        <w:rPr>
          <w:szCs w:val="24"/>
        </w:rPr>
        <w:tab/>
      </w:r>
      <w:r w:rsidR="00937210" w:rsidRPr="00137DD0">
        <w:rPr>
          <w:szCs w:val="24"/>
        </w:rPr>
        <w:t xml:space="preserve">The Council is required by law to consult on the SPD and to </w:t>
      </w:r>
      <w:proofErr w:type="gramStart"/>
      <w:r w:rsidR="00937210" w:rsidRPr="00137DD0">
        <w:rPr>
          <w:szCs w:val="24"/>
        </w:rPr>
        <w:t>take into account</w:t>
      </w:r>
      <w:proofErr w:type="gramEnd"/>
      <w:r w:rsidR="00937210" w:rsidRPr="00137DD0">
        <w:rPr>
          <w:szCs w:val="24"/>
        </w:rPr>
        <w:t xml:space="preserve"> all consultation responses received before adopting the SPD. As soon as reasonably practicable after adopting an SPD, the Council must (</w:t>
      </w:r>
      <w:proofErr w:type="spellStart"/>
      <w:r w:rsidR="00937210" w:rsidRPr="00137DD0">
        <w:rPr>
          <w:szCs w:val="24"/>
        </w:rPr>
        <w:t>i</w:t>
      </w:r>
      <w:proofErr w:type="spellEnd"/>
      <w:r w:rsidR="00937210" w:rsidRPr="00137DD0">
        <w:rPr>
          <w:szCs w:val="24"/>
        </w:rPr>
        <w:t>) make available the SPD and an adoption statement and (ii) send a copy of the adoption statement to any person who asked to be notified of the adoption of the SPD.</w:t>
      </w:r>
      <w:r w:rsidR="00A1211C" w:rsidRPr="00137DD0">
        <w:rPr>
          <w:szCs w:val="24"/>
        </w:rPr>
        <w:t xml:space="preserve"> </w:t>
      </w:r>
    </w:p>
    <w:p w14:paraId="324A5684" w14:textId="77777777" w:rsidR="001B0246" w:rsidRPr="00137DD0" w:rsidRDefault="001B0246" w:rsidP="001B41C9">
      <w:pPr>
        <w:ind w:left="851" w:hanging="851"/>
        <w:rPr>
          <w:szCs w:val="24"/>
        </w:rPr>
      </w:pPr>
    </w:p>
    <w:p w14:paraId="11F2AC04" w14:textId="5B8E29C3" w:rsidR="00333FAA" w:rsidRPr="00137DD0" w:rsidRDefault="000A5872" w:rsidP="00DE6CE2">
      <w:pPr>
        <w:pStyle w:val="Heading4"/>
        <w:ind w:left="851" w:hanging="851"/>
        <w:rPr>
          <w:szCs w:val="24"/>
        </w:rPr>
      </w:pPr>
      <w:r>
        <w:rPr>
          <w:szCs w:val="24"/>
        </w:rPr>
        <w:t>1</w:t>
      </w:r>
      <w:r w:rsidR="00D12665">
        <w:rPr>
          <w:szCs w:val="24"/>
        </w:rPr>
        <w:t>0</w:t>
      </w:r>
      <w:r w:rsidR="001B0246">
        <w:rPr>
          <w:szCs w:val="24"/>
        </w:rPr>
        <w:t>.0</w:t>
      </w:r>
      <w:r w:rsidR="001B0246">
        <w:rPr>
          <w:szCs w:val="24"/>
        </w:rPr>
        <w:tab/>
      </w:r>
      <w:r w:rsidR="00333FAA" w:rsidRPr="00137DD0">
        <w:rPr>
          <w:szCs w:val="24"/>
        </w:rPr>
        <w:t>Financial Implications</w:t>
      </w:r>
    </w:p>
    <w:p w14:paraId="63679972" w14:textId="77777777" w:rsidR="008220C6" w:rsidRDefault="008220C6" w:rsidP="00DE6CE2">
      <w:pPr>
        <w:keepNext/>
        <w:ind w:left="851" w:hanging="851"/>
        <w:rPr>
          <w:szCs w:val="24"/>
        </w:rPr>
      </w:pPr>
    </w:p>
    <w:p w14:paraId="4593D7D8" w14:textId="2ACCE888" w:rsidR="008E66D9" w:rsidRPr="0019648A" w:rsidRDefault="000A5872" w:rsidP="001B41C9">
      <w:pPr>
        <w:ind w:left="851" w:hanging="851"/>
        <w:rPr>
          <w:szCs w:val="24"/>
        </w:rPr>
      </w:pPr>
      <w:r>
        <w:rPr>
          <w:szCs w:val="24"/>
        </w:rPr>
        <w:t>1</w:t>
      </w:r>
      <w:r w:rsidR="00D12665">
        <w:rPr>
          <w:szCs w:val="24"/>
        </w:rPr>
        <w:t>0</w:t>
      </w:r>
      <w:r w:rsidR="001B0246" w:rsidRPr="0019648A">
        <w:rPr>
          <w:szCs w:val="24"/>
        </w:rPr>
        <w:t>.1</w:t>
      </w:r>
      <w:r w:rsidR="001B0246" w:rsidRPr="0019648A">
        <w:rPr>
          <w:szCs w:val="24"/>
        </w:rPr>
        <w:tab/>
      </w:r>
      <w:r w:rsidR="00FF34C8">
        <w:rPr>
          <w:szCs w:val="24"/>
        </w:rPr>
        <w:t>The cost of preparing and implementing</w:t>
      </w:r>
      <w:r w:rsidR="00C31940">
        <w:rPr>
          <w:szCs w:val="24"/>
        </w:rPr>
        <w:t xml:space="preserve"> the guidance on tall buildings and residential conversions will be met from</w:t>
      </w:r>
      <w:r w:rsidR="000A7DF4">
        <w:rPr>
          <w:szCs w:val="24"/>
        </w:rPr>
        <w:t xml:space="preserve"> Planning Policy Team resources.</w:t>
      </w:r>
      <w:r w:rsidR="00FF34C8">
        <w:rPr>
          <w:szCs w:val="24"/>
        </w:rPr>
        <w:t xml:space="preserve"> </w:t>
      </w:r>
    </w:p>
    <w:p w14:paraId="72853A8C" w14:textId="77777777" w:rsidR="00302792" w:rsidRPr="00137DD0" w:rsidRDefault="00302792" w:rsidP="001B41C9">
      <w:pPr>
        <w:ind w:left="851" w:hanging="851"/>
        <w:rPr>
          <w:szCs w:val="24"/>
        </w:rPr>
      </w:pPr>
    </w:p>
    <w:p w14:paraId="41D80CF8" w14:textId="744C335D" w:rsidR="00333FAA" w:rsidRPr="00137DD0" w:rsidRDefault="000A5872" w:rsidP="00DE6CE2">
      <w:pPr>
        <w:pStyle w:val="Heading4"/>
        <w:ind w:left="851" w:hanging="851"/>
        <w:rPr>
          <w:szCs w:val="24"/>
        </w:rPr>
      </w:pPr>
      <w:r>
        <w:rPr>
          <w:szCs w:val="24"/>
        </w:rPr>
        <w:lastRenderedPageBreak/>
        <w:t>1</w:t>
      </w:r>
      <w:r w:rsidR="00AC2915">
        <w:rPr>
          <w:szCs w:val="24"/>
        </w:rPr>
        <w:t>1</w:t>
      </w:r>
      <w:r w:rsidR="001B0246">
        <w:rPr>
          <w:szCs w:val="24"/>
        </w:rPr>
        <w:t>.0</w:t>
      </w:r>
      <w:r w:rsidR="001B0246">
        <w:rPr>
          <w:szCs w:val="24"/>
        </w:rPr>
        <w:tab/>
      </w:r>
      <w:r w:rsidR="00333FAA" w:rsidRPr="00137DD0">
        <w:rPr>
          <w:szCs w:val="24"/>
        </w:rPr>
        <w:t>Equalities implications</w:t>
      </w:r>
      <w:r w:rsidR="001C7E35" w:rsidRPr="00137DD0">
        <w:rPr>
          <w:szCs w:val="24"/>
        </w:rPr>
        <w:t xml:space="preserve"> </w:t>
      </w:r>
      <w:r w:rsidR="00333FAA" w:rsidRPr="00137DD0">
        <w:rPr>
          <w:szCs w:val="24"/>
        </w:rPr>
        <w:t>/</w:t>
      </w:r>
      <w:r w:rsidR="001C7E35" w:rsidRPr="00137DD0">
        <w:rPr>
          <w:szCs w:val="24"/>
        </w:rPr>
        <w:t xml:space="preserve"> </w:t>
      </w:r>
      <w:r w:rsidR="00333FAA" w:rsidRPr="00137DD0">
        <w:rPr>
          <w:szCs w:val="24"/>
        </w:rPr>
        <w:t>Public Sector Equality Duty</w:t>
      </w:r>
    </w:p>
    <w:p w14:paraId="16F01573" w14:textId="77777777" w:rsidR="008220C6" w:rsidRDefault="008220C6" w:rsidP="00DE6CE2">
      <w:pPr>
        <w:keepNext/>
        <w:ind w:left="851" w:hanging="851"/>
        <w:rPr>
          <w:szCs w:val="24"/>
        </w:rPr>
      </w:pPr>
    </w:p>
    <w:p w14:paraId="132244E9" w14:textId="0E89A0C5" w:rsidR="00FE17E2" w:rsidRDefault="000A5872" w:rsidP="001B41C9">
      <w:pPr>
        <w:ind w:left="851" w:hanging="851"/>
        <w:rPr>
          <w:rStyle w:val="normaltextrun"/>
          <w:rFonts w:cs="Arial"/>
          <w:szCs w:val="24"/>
        </w:rPr>
      </w:pPr>
      <w:proofErr w:type="gramStart"/>
      <w:r>
        <w:rPr>
          <w:szCs w:val="24"/>
        </w:rPr>
        <w:t>1</w:t>
      </w:r>
      <w:r w:rsidR="00AC2915">
        <w:rPr>
          <w:szCs w:val="24"/>
        </w:rPr>
        <w:t>1</w:t>
      </w:r>
      <w:r w:rsidR="001B0246">
        <w:rPr>
          <w:szCs w:val="24"/>
        </w:rPr>
        <w:t>.1</w:t>
      </w:r>
      <w:r w:rsidR="001B0246">
        <w:rPr>
          <w:szCs w:val="24"/>
        </w:rPr>
        <w:tab/>
      </w:r>
      <w:r w:rsidR="00645847" w:rsidRPr="00137DD0">
        <w:rPr>
          <w:szCs w:val="24"/>
        </w:rPr>
        <w:t>By definition, supplementary</w:t>
      </w:r>
      <w:proofErr w:type="gramEnd"/>
      <w:r w:rsidR="00645847" w:rsidRPr="00137DD0">
        <w:rPr>
          <w:szCs w:val="24"/>
        </w:rPr>
        <w:t xml:space="preserve"> planning documents cannot introduce new policies nor modify adopted polices and do not form a part of the development plan. Rather, their role is to supplement a ‘parent’ policy in a development plan document. The proposed SPDs the subject of this report will supplement adopted policies within the Harrow Core Strategy and subsequent Development Management Policies Local Plan. A full equalities impact assessment was carried out at each formal stage in the preparation of the Core Strategy. Similarly, the London Plan (including Policy D9: Tall Buildings) was subject to an Equalities Impact Assessment as part of the broader Integrated Impact Assessment of the Plan.</w:t>
      </w:r>
      <w:r w:rsidR="23B6646C" w:rsidRPr="00137DD0">
        <w:rPr>
          <w:rStyle w:val="normaltextrun"/>
          <w:rFonts w:cs="Arial"/>
          <w:szCs w:val="24"/>
        </w:rPr>
        <w:t xml:space="preserve"> </w:t>
      </w:r>
    </w:p>
    <w:p w14:paraId="06BDDC60" w14:textId="77777777" w:rsidR="001B0246" w:rsidRPr="00137DD0" w:rsidRDefault="001B0246" w:rsidP="001B41C9">
      <w:pPr>
        <w:ind w:left="851" w:hanging="851"/>
        <w:rPr>
          <w:rStyle w:val="eop"/>
          <w:szCs w:val="24"/>
        </w:rPr>
      </w:pPr>
    </w:p>
    <w:p w14:paraId="0E9ED8C5" w14:textId="2620491B" w:rsidR="00333FAA" w:rsidRPr="008220C6" w:rsidRDefault="000A5872" w:rsidP="00DE6CE2">
      <w:pPr>
        <w:pStyle w:val="Heading4"/>
        <w:ind w:left="851" w:hanging="851"/>
        <w:rPr>
          <w:szCs w:val="24"/>
        </w:rPr>
      </w:pPr>
      <w:r>
        <w:rPr>
          <w:szCs w:val="24"/>
        </w:rPr>
        <w:t>1</w:t>
      </w:r>
      <w:r w:rsidR="00AC2915">
        <w:rPr>
          <w:szCs w:val="24"/>
        </w:rPr>
        <w:t>2</w:t>
      </w:r>
      <w:r w:rsidR="001B0246">
        <w:rPr>
          <w:szCs w:val="24"/>
        </w:rPr>
        <w:t>.0</w:t>
      </w:r>
      <w:r w:rsidR="001B0246">
        <w:rPr>
          <w:szCs w:val="24"/>
        </w:rPr>
        <w:tab/>
      </w:r>
      <w:r w:rsidR="00333FAA" w:rsidRPr="00137DD0">
        <w:rPr>
          <w:szCs w:val="24"/>
        </w:rPr>
        <w:t>Council Priorities</w:t>
      </w:r>
    </w:p>
    <w:p w14:paraId="24653A80" w14:textId="77777777" w:rsidR="004D0A15" w:rsidRDefault="004D0A15" w:rsidP="00DE6CE2">
      <w:pPr>
        <w:keepNext/>
        <w:ind w:left="851" w:hanging="851"/>
        <w:rPr>
          <w:rFonts w:cs="Arial"/>
          <w:szCs w:val="24"/>
        </w:rPr>
      </w:pPr>
    </w:p>
    <w:p w14:paraId="7EEEB0D0" w14:textId="2B57B894" w:rsidR="001966D7" w:rsidRPr="00137DD0" w:rsidRDefault="000A5872" w:rsidP="001B41C9">
      <w:pPr>
        <w:ind w:left="851" w:hanging="851"/>
        <w:rPr>
          <w:rFonts w:cs="Arial"/>
          <w:szCs w:val="24"/>
        </w:rPr>
      </w:pPr>
      <w:r>
        <w:rPr>
          <w:rFonts w:cs="Arial"/>
          <w:szCs w:val="24"/>
        </w:rPr>
        <w:t>1</w:t>
      </w:r>
      <w:r w:rsidR="00AC2915">
        <w:rPr>
          <w:rFonts w:cs="Arial"/>
          <w:szCs w:val="24"/>
        </w:rPr>
        <w:t>2</w:t>
      </w:r>
      <w:r w:rsidR="001B0246">
        <w:rPr>
          <w:rFonts w:cs="Arial"/>
          <w:szCs w:val="24"/>
        </w:rPr>
        <w:t>.1</w:t>
      </w:r>
      <w:r w:rsidR="001B0246">
        <w:rPr>
          <w:rFonts w:cs="Arial"/>
          <w:szCs w:val="24"/>
        </w:rPr>
        <w:tab/>
      </w:r>
      <w:r w:rsidR="008501DA" w:rsidRPr="00137DD0">
        <w:rPr>
          <w:rFonts w:cs="Arial"/>
          <w:szCs w:val="24"/>
        </w:rPr>
        <w:t xml:space="preserve">This report and the proposed </w:t>
      </w:r>
      <w:r w:rsidR="001F076E" w:rsidRPr="00137DD0">
        <w:rPr>
          <w:rFonts w:cs="Arial"/>
          <w:szCs w:val="24"/>
        </w:rPr>
        <w:t>guidance</w:t>
      </w:r>
      <w:r w:rsidR="00CE55F8" w:rsidRPr="00137DD0">
        <w:rPr>
          <w:rFonts w:cs="Arial"/>
          <w:szCs w:val="24"/>
        </w:rPr>
        <w:t xml:space="preserve"> </w:t>
      </w:r>
      <w:r w:rsidR="001F076E" w:rsidRPr="00137DD0">
        <w:rPr>
          <w:rFonts w:cs="Arial"/>
          <w:szCs w:val="24"/>
        </w:rPr>
        <w:t>have</w:t>
      </w:r>
      <w:r w:rsidR="00CE55F8" w:rsidRPr="00137DD0">
        <w:rPr>
          <w:rFonts w:cs="Arial"/>
          <w:szCs w:val="24"/>
        </w:rPr>
        <w:t xml:space="preserve"> been requested by the Portfolio Holder for Planning and Regeneration </w:t>
      </w:r>
      <w:r w:rsidR="007D227B">
        <w:rPr>
          <w:rFonts w:cs="Arial"/>
          <w:szCs w:val="24"/>
        </w:rPr>
        <w:t>reflecting the priorit</w:t>
      </w:r>
      <w:r w:rsidR="00526663">
        <w:rPr>
          <w:rFonts w:cs="Arial"/>
          <w:szCs w:val="24"/>
        </w:rPr>
        <w:t>ies</w:t>
      </w:r>
      <w:r w:rsidR="007D227B">
        <w:rPr>
          <w:rFonts w:cs="Arial"/>
          <w:szCs w:val="24"/>
        </w:rPr>
        <w:t xml:space="preserve"> of </w:t>
      </w:r>
      <w:r w:rsidR="00CE55F8" w:rsidRPr="00137DD0">
        <w:rPr>
          <w:rFonts w:cs="Arial"/>
          <w:szCs w:val="24"/>
        </w:rPr>
        <w:t xml:space="preserve">the new administration. </w:t>
      </w:r>
    </w:p>
    <w:p w14:paraId="5514D939" w14:textId="77777777" w:rsidR="00333FAA" w:rsidRPr="00F4345E" w:rsidRDefault="00333FAA" w:rsidP="00DE6CE2">
      <w:pPr>
        <w:pStyle w:val="Heading2"/>
        <w:keepNext/>
        <w:spacing w:before="480" w:after="240"/>
      </w:pPr>
      <w:r w:rsidRPr="00F4345E">
        <w:t>Section 3 - Statutory Officer Clearance</w:t>
      </w:r>
    </w:p>
    <w:p w14:paraId="3B5D52F9" w14:textId="1CDA344C" w:rsidR="00A66326" w:rsidRPr="00F4345E" w:rsidRDefault="00A66326" w:rsidP="00DE6CE2">
      <w:pPr>
        <w:keepNext/>
        <w:rPr>
          <w:sz w:val="28"/>
        </w:rPr>
      </w:pPr>
      <w:r w:rsidRPr="00F4345E">
        <w:rPr>
          <w:b/>
          <w:sz w:val="28"/>
        </w:rPr>
        <w:t xml:space="preserve">Statutory Officer:  </w:t>
      </w:r>
      <w:r w:rsidR="00270EB3">
        <w:rPr>
          <w:b/>
          <w:sz w:val="28"/>
        </w:rPr>
        <w:t>Dawn Calvert</w:t>
      </w:r>
    </w:p>
    <w:p w14:paraId="06450070" w14:textId="12EE4149" w:rsidR="00A66326" w:rsidRPr="00F4345E" w:rsidRDefault="00A66326" w:rsidP="00DE6CE2">
      <w:pPr>
        <w:keepNext/>
      </w:pPr>
      <w:r w:rsidRPr="00F4345E">
        <w:t>Signed by the Chief Financial Officer</w:t>
      </w:r>
    </w:p>
    <w:p w14:paraId="33977AD6" w14:textId="77777777" w:rsidR="00A66326" w:rsidRPr="00F4345E" w:rsidRDefault="00A66326" w:rsidP="00DE6CE2">
      <w:pPr>
        <w:keepNext/>
        <w:rPr>
          <w:sz w:val="28"/>
        </w:rPr>
      </w:pPr>
    </w:p>
    <w:p w14:paraId="555021EF" w14:textId="50C2FDC9" w:rsidR="00A66326" w:rsidRPr="00F4345E" w:rsidRDefault="00A66326" w:rsidP="00A66326">
      <w:pPr>
        <w:spacing w:after="480"/>
        <w:rPr>
          <w:sz w:val="28"/>
        </w:rPr>
      </w:pPr>
      <w:r w:rsidRPr="00F4345E">
        <w:rPr>
          <w:b/>
          <w:sz w:val="28"/>
        </w:rPr>
        <w:t>Date:</w:t>
      </w:r>
      <w:r w:rsidRPr="00270EB3">
        <w:rPr>
          <w:bCs/>
          <w:sz w:val="28"/>
        </w:rPr>
        <w:t xml:space="preserve">  </w:t>
      </w:r>
      <w:r w:rsidR="00AC2915">
        <w:rPr>
          <w:bCs/>
          <w:sz w:val="28"/>
        </w:rPr>
        <w:t>16</w:t>
      </w:r>
      <w:r w:rsidR="00270EB3" w:rsidRPr="00270EB3">
        <w:rPr>
          <w:bCs/>
          <w:sz w:val="28"/>
        </w:rPr>
        <w:t xml:space="preserve"> May 2022</w:t>
      </w:r>
    </w:p>
    <w:p w14:paraId="7E329E85" w14:textId="3B731559" w:rsidR="00A66326" w:rsidRPr="00F4345E" w:rsidRDefault="00A66326" w:rsidP="00DE6CE2">
      <w:pPr>
        <w:keepNext/>
        <w:rPr>
          <w:sz w:val="28"/>
        </w:rPr>
      </w:pPr>
      <w:r w:rsidRPr="00F4345E">
        <w:rPr>
          <w:b/>
          <w:sz w:val="28"/>
        </w:rPr>
        <w:t xml:space="preserve">Statutory Officer:  </w:t>
      </w:r>
      <w:r w:rsidR="002779D9">
        <w:rPr>
          <w:b/>
          <w:sz w:val="28"/>
        </w:rPr>
        <w:t>Hugh Peart</w:t>
      </w:r>
    </w:p>
    <w:p w14:paraId="76F84634" w14:textId="7B92A890" w:rsidR="00A66326" w:rsidRPr="00F4345E" w:rsidRDefault="00A66326" w:rsidP="00DE6CE2">
      <w:pPr>
        <w:keepNext/>
      </w:pPr>
      <w:r w:rsidRPr="00F4345E">
        <w:t>Signed by the Monitoring Officer</w:t>
      </w:r>
    </w:p>
    <w:p w14:paraId="76E71941" w14:textId="77777777" w:rsidR="00A66326" w:rsidRPr="00F4345E" w:rsidRDefault="00A66326" w:rsidP="00DE6CE2">
      <w:pPr>
        <w:keepNext/>
        <w:rPr>
          <w:sz w:val="28"/>
        </w:rPr>
      </w:pPr>
    </w:p>
    <w:p w14:paraId="1AC0D358" w14:textId="68F714CB" w:rsidR="00A66326" w:rsidRPr="00F4345E" w:rsidRDefault="00A66326" w:rsidP="00A66326">
      <w:pPr>
        <w:spacing w:after="480"/>
        <w:rPr>
          <w:sz w:val="28"/>
        </w:rPr>
      </w:pPr>
      <w:r w:rsidRPr="00F4345E">
        <w:rPr>
          <w:b/>
          <w:sz w:val="28"/>
        </w:rPr>
        <w:t xml:space="preserve">Date:  </w:t>
      </w:r>
      <w:r w:rsidR="00AC2915">
        <w:rPr>
          <w:bCs/>
          <w:sz w:val="28"/>
        </w:rPr>
        <w:t>17</w:t>
      </w:r>
      <w:r w:rsidR="00DB1FEB" w:rsidRPr="002779D9">
        <w:rPr>
          <w:bCs/>
          <w:sz w:val="28"/>
        </w:rPr>
        <w:t xml:space="preserve"> Ma</w:t>
      </w:r>
      <w:r w:rsidR="00DB1FEB">
        <w:rPr>
          <w:bCs/>
          <w:sz w:val="28"/>
        </w:rPr>
        <w:t>y</w:t>
      </w:r>
      <w:r w:rsidR="00DB1FEB" w:rsidRPr="002779D9">
        <w:rPr>
          <w:bCs/>
          <w:sz w:val="28"/>
        </w:rPr>
        <w:t xml:space="preserve"> 2022</w:t>
      </w:r>
    </w:p>
    <w:p w14:paraId="31D8FA55" w14:textId="06CF392B" w:rsidR="00BF5AFA" w:rsidRPr="00F4345E" w:rsidRDefault="00BF5AFA" w:rsidP="00DE6CE2">
      <w:pPr>
        <w:keepNext/>
        <w:rPr>
          <w:sz w:val="28"/>
        </w:rPr>
      </w:pPr>
      <w:r w:rsidRPr="00F4345E">
        <w:rPr>
          <w:b/>
          <w:sz w:val="28"/>
        </w:rPr>
        <w:t xml:space="preserve">Chief Officer:  </w:t>
      </w:r>
      <w:r w:rsidR="002779D9">
        <w:rPr>
          <w:b/>
          <w:sz w:val="28"/>
        </w:rPr>
        <w:t>Dipti Patel</w:t>
      </w:r>
    </w:p>
    <w:p w14:paraId="6C086558" w14:textId="6DDEDC59" w:rsidR="00BF5AFA" w:rsidRPr="00F4345E" w:rsidRDefault="00BF5AFA" w:rsidP="00DE6CE2">
      <w:pPr>
        <w:keepNext/>
      </w:pPr>
      <w:r w:rsidRPr="00F4345E">
        <w:t>Signed off by the Corporate Director</w:t>
      </w:r>
    </w:p>
    <w:p w14:paraId="34A60057" w14:textId="77777777" w:rsidR="00BF5AFA" w:rsidRPr="00F4345E" w:rsidRDefault="00BF5AFA" w:rsidP="00DE6CE2">
      <w:pPr>
        <w:keepNext/>
        <w:rPr>
          <w:sz w:val="28"/>
        </w:rPr>
      </w:pPr>
    </w:p>
    <w:p w14:paraId="5F67CDF0" w14:textId="66ABBB55" w:rsidR="00BF5AFA" w:rsidRPr="00F4345E" w:rsidRDefault="00BF5AFA" w:rsidP="00BF5AFA">
      <w:pPr>
        <w:spacing w:after="480"/>
        <w:rPr>
          <w:sz w:val="28"/>
        </w:rPr>
      </w:pPr>
      <w:r w:rsidRPr="00F4345E">
        <w:rPr>
          <w:b/>
          <w:sz w:val="28"/>
        </w:rPr>
        <w:t xml:space="preserve">Date:  </w:t>
      </w:r>
      <w:r w:rsidR="002779D9" w:rsidRPr="002779D9">
        <w:rPr>
          <w:bCs/>
          <w:sz w:val="28"/>
        </w:rPr>
        <w:t>13 May 2022</w:t>
      </w:r>
    </w:p>
    <w:p w14:paraId="41E16C55" w14:textId="77777777" w:rsidR="00333FAA" w:rsidRPr="00F4345E" w:rsidRDefault="00333FAA" w:rsidP="0041076C">
      <w:pPr>
        <w:pStyle w:val="Heading2"/>
        <w:keepNext/>
        <w:spacing w:before="480" w:after="240"/>
      </w:pPr>
      <w:r w:rsidRPr="00F4345E">
        <w:lastRenderedPageBreak/>
        <w:t xml:space="preserve">Section </w:t>
      </w:r>
      <w:r w:rsidR="00A20113" w:rsidRPr="00F4345E">
        <w:t>4</w:t>
      </w:r>
      <w:r w:rsidRPr="00F4345E">
        <w:t xml:space="preserve"> - Contact Details and Background Papers</w:t>
      </w:r>
    </w:p>
    <w:p w14:paraId="0005C0E4" w14:textId="12FC9FA3" w:rsidR="00333FAA" w:rsidRPr="001B41C9" w:rsidRDefault="00333FAA" w:rsidP="0041076C">
      <w:pPr>
        <w:pStyle w:val="Infotext"/>
        <w:keepNext/>
        <w:spacing w:after="240"/>
        <w:rPr>
          <w:bCs/>
          <w:sz w:val="24"/>
          <w:szCs w:val="24"/>
        </w:rPr>
      </w:pPr>
      <w:r w:rsidRPr="00F4345E">
        <w:rPr>
          <w:b/>
        </w:rPr>
        <w:t xml:space="preserve">Contact:  </w:t>
      </w:r>
      <w:r w:rsidR="006A0917" w:rsidRPr="006A0917">
        <w:rPr>
          <w:bCs/>
          <w:sz w:val="24"/>
          <w:szCs w:val="24"/>
        </w:rPr>
        <w:t xml:space="preserve">David Hughes, Planning Policy Manager, </w:t>
      </w:r>
      <w:hyperlink r:id="rId13" w:history="1">
        <w:r w:rsidR="006A0917" w:rsidRPr="006A0917">
          <w:rPr>
            <w:rStyle w:val="Hyperlink"/>
            <w:bCs/>
            <w:sz w:val="24"/>
            <w:szCs w:val="24"/>
          </w:rPr>
          <w:t>david.hughes@harrow.gov.uk</w:t>
        </w:r>
      </w:hyperlink>
      <w:r w:rsidR="006A0917" w:rsidRPr="006A0917">
        <w:rPr>
          <w:bCs/>
          <w:sz w:val="24"/>
          <w:szCs w:val="24"/>
        </w:rPr>
        <w:t xml:space="preserve"> </w:t>
      </w:r>
    </w:p>
    <w:p w14:paraId="5E031B7A" w14:textId="77777777" w:rsidR="00E534EF" w:rsidRDefault="00333FAA" w:rsidP="0041076C">
      <w:pPr>
        <w:pStyle w:val="Infotext"/>
        <w:keepNext/>
        <w:spacing w:after="240"/>
        <w:rPr>
          <w:b/>
        </w:rPr>
      </w:pPr>
      <w:r w:rsidRPr="00F4345E">
        <w:rPr>
          <w:b/>
        </w:rPr>
        <w:t xml:space="preserve">Background Papers: </w:t>
      </w:r>
    </w:p>
    <w:p w14:paraId="4BB4F545" w14:textId="77777777" w:rsidR="00730458" w:rsidRPr="00174DE9" w:rsidRDefault="00AB5BBD" w:rsidP="00E8139C">
      <w:pPr>
        <w:pStyle w:val="Infotext"/>
        <w:numPr>
          <w:ilvl w:val="0"/>
          <w:numId w:val="3"/>
        </w:numPr>
        <w:rPr>
          <w:sz w:val="24"/>
          <w:szCs w:val="24"/>
        </w:rPr>
      </w:pPr>
      <w:hyperlink r:id="rId14" w:history="1">
        <w:r w:rsidR="00730458" w:rsidRPr="00174DE9">
          <w:rPr>
            <w:rStyle w:val="Hyperlink"/>
            <w:color w:val="auto"/>
            <w:sz w:val="24"/>
            <w:szCs w:val="24"/>
          </w:rPr>
          <w:t>National Planning Policy Framework (2021)</w:t>
        </w:r>
      </w:hyperlink>
      <w:r w:rsidR="00730458" w:rsidRPr="00174DE9">
        <w:rPr>
          <w:sz w:val="24"/>
          <w:szCs w:val="24"/>
        </w:rPr>
        <w:t xml:space="preserve"> </w:t>
      </w:r>
    </w:p>
    <w:p w14:paraId="7832270A" w14:textId="77777777" w:rsidR="00730458" w:rsidRPr="00174DE9" w:rsidRDefault="00AB5BBD" w:rsidP="00E8139C">
      <w:pPr>
        <w:pStyle w:val="Infotext"/>
        <w:numPr>
          <w:ilvl w:val="0"/>
          <w:numId w:val="3"/>
        </w:numPr>
        <w:rPr>
          <w:sz w:val="24"/>
          <w:szCs w:val="24"/>
        </w:rPr>
      </w:pPr>
      <w:hyperlink r:id="rId15" w:history="1">
        <w:r w:rsidR="00730458" w:rsidRPr="00174DE9">
          <w:rPr>
            <w:rStyle w:val="Hyperlink"/>
            <w:color w:val="auto"/>
            <w:sz w:val="24"/>
            <w:szCs w:val="24"/>
          </w:rPr>
          <w:t>London Plan (2021)</w:t>
        </w:r>
      </w:hyperlink>
      <w:r w:rsidR="00730458" w:rsidRPr="00174DE9">
        <w:rPr>
          <w:sz w:val="24"/>
          <w:szCs w:val="24"/>
        </w:rPr>
        <w:t xml:space="preserve"> </w:t>
      </w:r>
    </w:p>
    <w:p w14:paraId="371095B5" w14:textId="77777777" w:rsidR="00730458" w:rsidRPr="00174DE9" w:rsidRDefault="00AB5BBD" w:rsidP="00E8139C">
      <w:pPr>
        <w:pStyle w:val="Infotext"/>
        <w:numPr>
          <w:ilvl w:val="0"/>
          <w:numId w:val="3"/>
        </w:numPr>
        <w:rPr>
          <w:sz w:val="24"/>
          <w:szCs w:val="24"/>
        </w:rPr>
      </w:pPr>
      <w:hyperlink r:id="rId16" w:history="1">
        <w:r w:rsidR="00730458" w:rsidRPr="00174DE9">
          <w:rPr>
            <w:rStyle w:val="Hyperlink"/>
            <w:color w:val="auto"/>
            <w:sz w:val="24"/>
            <w:szCs w:val="24"/>
          </w:rPr>
          <w:t>Harrow Local Plan</w:t>
        </w:r>
      </w:hyperlink>
    </w:p>
    <w:p w14:paraId="124C09F6" w14:textId="77777777" w:rsidR="00730458" w:rsidRPr="00174DE9" w:rsidRDefault="00AB5BBD" w:rsidP="00E8139C">
      <w:pPr>
        <w:pStyle w:val="Infotext"/>
        <w:numPr>
          <w:ilvl w:val="0"/>
          <w:numId w:val="3"/>
        </w:numPr>
        <w:rPr>
          <w:sz w:val="24"/>
          <w:szCs w:val="24"/>
        </w:rPr>
      </w:pPr>
      <w:hyperlink r:id="rId17" w:history="1">
        <w:r w:rsidR="00730458" w:rsidRPr="00174DE9">
          <w:rPr>
            <w:rStyle w:val="Hyperlink"/>
            <w:color w:val="auto"/>
            <w:sz w:val="24"/>
            <w:szCs w:val="24"/>
          </w:rPr>
          <w:t>Harrow Statement of Community Involvement (2013)</w:t>
        </w:r>
      </w:hyperlink>
    </w:p>
    <w:p w14:paraId="3B5A56C2" w14:textId="0A26E79B" w:rsidR="00E534EF" w:rsidRPr="00174DE9" w:rsidRDefault="00AB5BBD" w:rsidP="00E8139C">
      <w:pPr>
        <w:pStyle w:val="Infotext"/>
        <w:numPr>
          <w:ilvl w:val="0"/>
          <w:numId w:val="3"/>
        </w:numPr>
        <w:spacing w:after="240"/>
        <w:rPr>
          <w:b/>
          <w:sz w:val="24"/>
          <w:szCs w:val="24"/>
        </w:rPr>
      </w:pPr>
      <w:hyperlink r:id="rId18" w:history="1">
        <w:r w:rsidR="00730458" w:rsidRPr="00174DE9">
          <w:rPr>
            <w:rStyle w:val="Hyperlink"/>
            <w:color w:val="auto"/>
            <w:sz w:val="24"/>
            <w:szCs w:val="24"/>
          </w:rPr>
          <w:t>Amendment to Statement of Community Involvement to Covid-19 (2020)</w:t>
        </w:r>
      </w:hyperlink>
    </w:p>
    <w:sectPr w:rsidR="00E534EF" w:rsidRPr="00174DE9" w:rsidSect="001614E0">
      <w:headerReference w:type="default" r:id="rId19"/>
      <w:headerReference w:type="first" r:id="rId20"/>
      <w:footerReference w:type="first" r:id="rId21"/>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2DF16" w14:textId="77777777" w:rsidR="00580F3A" w:rsidRDefault="00580F3A">
      <w:r>
        <w:separator/>
      </w:r>
    </w:p>
  </w:endnote>
  <w:endnote w:type="continuationSeparator" w:id="0">
    <w:p w14:paraId="0ADC9A53" w14:textId="77777777" w:rsidR="00580F3A" w:rsidRDefault="0058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4E919" w14:textId="77777777" w:rsidR="00580F3A" w:rsidRDefault="00580F3A">
      <w:r>
        <w:separator/>
      </w:r>
    </w:p>
  </w:footnote>
  <w:footnote w:type="continuationSeparator" w:id="0">
    <w:p w14:paraId="6E8A3C87" w14:textId="77777777" w:rsidR="00580F3A" w:rsidRDefault="00580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EC927D3"/>
    <w:multiLevelType w:val="hybridMultilevel"/>
    <w:tmpl w:val="2A706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997669"/>
    <w:multiLevelType w:val="multilevel"/>
    <w:tmpl w:val="D6C00804"/>
    <w:lvl w:ilvl="0">
      <w:start w:val="2"/>
      <w:numFmt w:val="decimal"/>
      <w:lvlText w:val="%1"/>
      <w:lvlJc w:val="left"/>
      <w:pPr>
        <w:ind w:left="855" w:hanging="855"/>
      </w:pPr>
      <w:rPr>
        <w:rFonts w:cs="Times New Roman" w:hint="default"/>
        <w:b w:val="0"/>
        <w:sz w:val="24"/>
      </w:rPr>
    </w:lvl>
    <w:lvl w:ilvl="1">
      <w:start w:val="1"/>
      <w:numFmt w:val="decimal"/>
      <w:lvlText w:val="%1.%2"/>
      <w:lvlJc w:val="left"/>
      <w:pPr>
        <w:ind w:left="855" w:hanging="855"/>
      </w:pPr>
      <w:rPr>
        <w:rFonts w:cs="Times New Roman" w:hint="default"/>
        <w:b w:val="0"/>
        <w:sz w:val="24"/>
      </w:rPr>
    </w:lvl>
    <w:lvl w:ilvl="2">
      <w:start w:val="1"/>
      <w:numFmt w:val="decimal"/>
      <w:lvlText w:val="%1.%2.%3"/>
      <w:lvlJc w:val="left"/>
      <w:pPr>
        <w:ind w:left="855" w:hanging="855"/>
      </w:pPr>
      <w:rPr>
        <w:rFonts w:cs="Times New Roman" w:hint="default"/>
        <w:b w:val="0"/>
        <w:sz w:val="24"/>
      </w:rPr>
    </w:lvl>
    <w:lvl w:ilvl="3">
      <w:start w:val="1"/>
      <w:numFmt w:val="decimal"/>
      <w:lvlText w:val="%1.%2.%3.%4"/>
      <w:lvlJc w:val="left"/>
      <w:pPr>
        <w:ind w:left="1080" w:hanging="1080"/>
      </w:pPr>
      <w:rPr>
        <w:rFonts w:cs="Times New Roman" w:hint="default"/>
        <w:b w:val="0"/>
        <w:sz w:val="24"/>
      </w:rPr>
    </w:lvl>
    <w:lvl w:ilvl="4">
      <w:start w:val="1"/>
      <w:numFmt w:val="decimal"/>
      <w:lvlText w:val="%1.%2.%3.%4.%5"/>
      <w:lvlJc w:val="left"/>
      <w:pPr>
        <w:ind w:left="1080" w:hanging="1080"/>
      </w:pPr>
      <w:rPr>
        <w:rFonts w:cs="Times New Roman" w:hint="default"/>
        <w:b w:val="0"/>
        <w:sz w:val="24"/>
      </w:rPr>
    </w:lvl>
    <w:lvl w:ilvl="5">
      <w:start w:val="1"/>
      <w:numFmt w:val="decimal"/>
      <w:lvlText w:val="%1.%2.%3.%4.%5.%6"/>
      <w:lvlJc w:val="left"/>
      <w:pPr>
        <w:ind w:left="1440" w:hanging="1440"/>
      </w:pPr>
      <w:rPr>
        <w:rFonts w:cs="Times New Roman" w:hint="default"/>
        <w:b w:val="0"/>
        <w:sz w:val="24"/>
      </w:rPr>
    </w:lvl>
    <w:lvl w:ilvl="6">
      <w:start w:val="1"/>
      <w:numFmt w:val="decimal"/>
      <w:lvlText w:val="%1.%2.%3.%4.%5.%6.%7"/>
      <w:lvlJc w:val="left"/>
      <w:pPr>
        <w:ind w:left="1440" w:hanging="1440"/>
      </w:pPr>
      <w:rPr>
        <w:rFonts w:cs="Times New Roman" w:hint="default"/>
        <w:b w:val="0"/>
        <w:sz w:val="24"/>
      </w:rPr>
    </w:lvl>
    <w:lvl w:ilvl="7">
      <w:start w:val="1"/>
      <w:numFmt w:val="decimal"/>
      <w:lvlText w:val="%1.%2.%3.%4.%5.%6.%7.%8"/>
      <w:lvlJc w:val="left"/>
      <w:pPr>
        <w:ind w:left="1800" w:hanging="1800"/>
      </w:pPr>
      <w:rPr>
        <w:rFonts w:cs="Times New Roman" w:hint="default"/>
        <w:b w:val="0"/>
        <w:sz w:val="24"/>
      </w:rPr>
    </w:lvl>
    <w:lvl w:ilvl="8">
      <w:start w:val="1"/>
      <w:numFmt w:val="decimal"/>
      <w:lvlText w:val="%1.%2.%3.%4.%5.%6.%7.%8.%9"/>
      <w:lvlJc w:val="left"/>
      <w:pPr>
        <w:ind w:left="1800" w:hanging="1800"/>
      </w:pPr>
      <w:rPr>
        <w:rFonts w:cs="Times New Roman" w:hint="default"/>
        <w:b w:val="0"/>
        <w:sz w:val="24"/>
      </w:rPr>
    </w:lvl>
  </w:abstractNum>
  <w:abstractNum w:abstractNumId="3" w15:restartNumberingAfterBreak="0">
    <w:nsid w:val="687401D7"/>
    <w:multiLevelType w:val="hybridMultilevel"/>
    <w:tmpl w:val="8D7AE622"/>
    <w:lvl w:ilvl="0" w:tplc="0DA835D4">
      <w:start w:val="1"/>
      <w:numFmt w:val="upp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1D027F"/>
    <w:multiLevelType w:val="hybridMultilevel"/>
    <w:tmpl w:val="C0088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2ECF"/>
    <w:rsid w:val="0003075C"/>
    <w:rsid w:val="0004029A"/>
    <w:rsid w:val="00042770"/>
    <w:rsid w:val="000474E3"/>
    <w:rsid w:val="0006034E"/>
    <w:rsid w:val="00063783"/>
    <w:rsid w:val="00072123"/>
    <w:rsid w:val="000736AC"/>
    <w:rsid w:val="00073765"/>
    <w:rsid w:val="00076B6F"/>
    <w:rsid w:val="000849F6"/>
    <w:rsid w:val="000929A6"/>
    <w:rsid w:val="00095FA1"/>
    <w:rsid w:val="000962FB"/>
    <w:rsid w:val="000A5872"/>
    <w:rsid w:val="000A7DF4"/>
    <w:rsid w:val="000B5015"/>
    <w:rsid w:val="000B788F"/>
    <w:rsid w:val="000B7A00"/>
    <w:rsid w:val="000B7C66"/>
    <w:rsid w:val="000C2BD1"/>
    <w:rsid w:val="000D4E36"/>
    <w:rsid w:val="000E058C"/>
    <w:rsid w:val="000E0B31"/>
    <w:rsid w:val="000E62FE"/>
    <w:rsid w:val="00105B8A"/>
    <w:rsid w:val="00112484"/>
    <w:rsid w:val="001161E4"/>
    <w:rsid w:val="001230C0"/>
    <w:rsid w:val="00123E8D"/>
    <w:rsid w:val="00125A26"/>
    <w:rsid w:val="00137CD6"/>
    <w:rsid w:val="00137DD0"/>
    <w:rsid w:val="001472A8"/>
    <w:rsid w:val="0015376F"/>
    <w:rsid w:val="00153BD7"/>
    <w:rsid w:val="001614E0"/>
    <w:rsid w:val="00161D91"/>
    <w:rsid w:val="001658AF"/>
    <w:rsid w:val="00171BD8"/>
    <w:rsid w:val="00174DE9"/>
    <w:rsid w:val="0017653E"/>
    <w:rsid w:val="001776C4"/>
    <w:rsid w:val="00182B01"/>
    <w:rsid w:val="00183034"/>
    <w:rsid w:val="00183CFE"/>
    <w:rsid w:val="001840D2"/>
    <w:rsid w:val="00187AF9"/>
    <w:rsid w:val="0019292E"/>
    <w:rsid w:val="00194343"/>
    <w:rsid w:val="00196123"/>
    <w:rsid w:val="0019648A"/>
    <w:rsid w:val="001966D7"/>
    <w:rsid w:val="001A4661"/>
    <w:rsid w:val="001B0246"/>
    <w:rsid w:val="001B41C9"/>
    <w:rsid w:val="001C4204"/>
    <w:rsid w:val="001C4A0D"/>
    <w:rsid w:val="001C4D2E"/>
    <w:rsid w:val="001C7E35"/>
    <w:rsid w:val="001D76DC"/>
    <w:rsid w:val="001E3C06"/>
    <w:rsid w:val="001F0037"/>
    <w:rsid w:val="001F076E"/>
    <w:rsid w:val="001F0BE9"/>
    <w:rsid w:val="00202D79"/>
    <w:rsid w:val="0020340E"/>
    <w:rsid w:val="00205D2F"/>
    <w:rsid w:val="00215E8F"/>
    <w:rsid w:val="00221A93"/>
    <w:rsid w:val="00226F99"/>
    <w:rsid w:val="00231114"/>
    <w:rsid w:val="002322BB"/>
    <w:rsid w:val="00235D73"/>
    <w:rsid w:val="00240564"/>
    <w:rsid w:val="00246F02"/>
    <w:rsid w:val="00251254"/>
    <w:rsid w:val="002518EE"/>
    <w:rsid w:val="00252DAF"/>
    <w:rsid w:val="002548D1"/>
    <w:rsid w:val="00261F83"/>
    <w:rsid w:val="00270EB3"/>
    <w:rsid w:val="0027283B"/>
    <w:rsid w:val="002754C3"/>
    <w:rsid w:val="002779D9"/>
    <w:rsid w:val="0028019B"/>
    <w:rsid w:val="00282E73"/>
    <w:rsid w:val="00283CAB"/>
    <w:rsid w:val="0028525A"/>
    <w:rsid w:val="002904A3"/>
    <w:rsid w:val="002961EC"/>
    <w:rsid w:val="002A3FEF"/>
    <w:rsid w:val="002A5750"/>
    <w:rsid w:val="002B0E31"/>
    <w:rsid w:val="002B4A99"/>
    <w:rsid w:val="002B54A6"/>
    <w:rsid w:val="002C77EC"/>
    <w:rsid w:val="002D69F3"/>
    <w:rsid w:val="002E2F4F"/>
    <w:rsid w:val="002E5BBB"/>
    <w:rsid w:val="002F3EE9"/>
    <w:rsid w:val="002F545B"/>
    <w:rsid w:val="00302792"/>
    <w:rsid w:val="0030676F"/>
    <w:rsid w:val="00307F76"/>
    <w:rsid w:val="00313570"/>
    <w:rsid w:val="00314038"/>
    <w:rsid w:val="003200B4"/>
    <w:rsid w:val="00321FBB"/>
    <w:rsid w:val="00330832"/>
    <w:rsid w:val="003313EA"/>
    <w:rsid w:val="00333859"/>
    <w:rsid w:val="00333FAA"/>
    <w:rsid w:val="003355D7"/>
    <w:rsid w:val="0035063A"/>
    <w:rsid w:val="00356719"/>
    <w:rsid w:val="0036201C"/>
    <w:rsid w:val="00365057"/>
    <w:rsid w:val="00376768"/>
    <w:rsid w:val="00380F87"/>
    <w:rsid w:val="003865B8"/>
    <w:rsid w:val="0039539A"/>
    <w:rsid w:val="00395917"/>
    <w:rsid w:val="0039648C"/>
    <w:rsid w:val="003C270D"/>
    <w:rsid w:val="003C56C8"/>
    <w:rsid w:val="003F200F"/>
    <w:rsid w:val="003F3AFD"/>
    <w:rsid w:val="0040740B"/>
    <w:rsid w:val="004076C8"/>
    <w:rsid w:val="0041076C"/>
    <w:rsid w:val="004207E3"/>
    <w:rsid w:val="00421A4C"/>
    <w:rsid w:val="00421CE9"/>
    <w:rsid w:val="004238C2"/>
    <w:rsid w:val="00426359"/>
    <w:rsid w:val="00435B5D"/>
    <w:rsid w:val="004363F7"/>
    <w:rsid w:val="0044525C"/>
    <w:rsid w:val="00445D09"/>
    <w:rsid w:val="0045295D"/>
    <w:rsid w:val="0045426A"/>
    <w:rsid w:val="004548E6"/>
    <w:rsid w:val="004553F1"/>
    <w:rsid w:val="0045579D"/>
    <w:rsid w:val="00460B93"/>
    <w:rsid w:val="00463F63"/>
    <w:rsid w:val="00470D1B"/>
    <w:rsid w:val="00471C1F"/>
    <w:rsid w:val="00473B26"/>
    <w:rsid w:val="0047477B"/>
    <w:rsid w:val="00474792"/>
    <w:rsid w:val="004809FA"/>
    <w:rsid w:val="00485A6F"/>
    <w:rsid w:val="00485F8F"/>
    <w:rsid w:val="0049763B"/>
    <w:rsid w:val="004A5340"/>
    <w:rsid w:val="004B1A7B"/>
    <w:rsid w:val="004B31B3"/>
    <w:rsid w:val="004C2D09"/>
    <w:rsid w:val="004C2D87"/>
    <w:rsid w:val="004C4A75"/>
    <w:rsid w:val="004C5D20"/>
    <w:rsid w:val="004C776C"/>
    <w:rsid w:val="004D0A15"/>
    <w:rsid w:val="004D1B58"/>
    <w:rsid w:val="004D2DA0"/>
    <w:rsid w:val="004E14A4"/>
    <w:rsid w:val="004E3A19"/>
    <w:rsid w:val="004E6290"/>
    <w:rsid w:val="004F3334"/>
    <w:rsid w:val="004F4B03"/>
    <w:rsid w:val="004F54BD"/>
    <w:rsid w:val="004F56C5"/>
    <w:rsid w:val="0050600D"/>
    <w:rsid w:val="005060A3"/>
    <w:rsid w:val="00506185"/>
    <w:rsid w:val="0052114D"/>
    <w:rsid w:val="005254FB"/>
    <w:rsid w:val="00526663"/>
    <w:rsid w:val="00533463"/>
    <w:rsid w:val="005354D0"/>
    <w:rsid w:val="00537016"/>
    <w:rsid w:val="0054172C"/>
    <w:rsid w:val="00541C23"/>
    <w:rsid w:val="0054590F"/>
    <w:rsid w:val="005459EC"/>
    <w:rsid w:val="00553B54"/>
    <w:rsid w:val="00563EA4"/>
    <w:rsid w:val="00564E73"/>
    <w:rsid w:val="005718B5"/>
    <w:rsid w:val="005728CE"/>
    <w:rsid w:val="00573B45"/>
    <w:rsid w:val="005808FB"/>
    <w:rsid w:val="00580F3A"/>
    <w:rsid w:val="005811F8"/>
    <w:rsid w:val="00582605"/>
    <w:rsid w:val="00586372"/>
    <w:rsid w:val="00591016"/>
    <w:rsid w:val="005B3F67"/>
    <w:rsid w:val="005B593C"/>
    <w:rsid w:val="005D05D4"/>
    <w:rsid w:val="005D05F9"/>
    <w:rsid w:val="005D2107"/>
    <w:rsid w:val="005D5349"/>
    <w:rsid w:val="005D548F"/>
    <w:rsid w:val="005D6EF5"/>
    <w:rsid w:val="005E12E9"/>
    <w:rsid w:val="005E22C3"/>
    <w:rsid w:val="005E388D"/>
    <w:rsid w:val="005E3A10"/>
    <w:rsid w:val="005E7509"/>
    <w:rsid w:val="00601D7F"/>
    <w:rsid w:val="00605A4C"/>
    <w:rsid w:val="00610CC0"/>
    <w:rsid w:val="00635B2A"/>
    <w:rsid w:val="006374E2"/>
    <w:rsid w:val="00645847"/>
    <w:rsid w:val="00645B8B"/>
    <w:rsid w:val="00650401"/>
    <w:rsid w:val="006541A3"/>
    <w:rsid w:val="00655044"/>
    <w:rsid w:val="006554D5"/>
    <w:rsid w:val="006615FD"/>
    <w:rsid w:val="00665E91"/>
    <w:rsid w:val="00666922"/>
    <w:rsid w:val="00670F17"/>
    <w:rsid w:val="006710C7"/>
    <w:rsid w:val="006766DF"/>
    <w:rsid w:val="00692C1F"/>
    <w:rsid w:val="00694897"/>
    <w:rsid w:val="00696A83"/>
    <w:rsid w:val="006A0917"/>
    <w:rsid w:val="006A3C28"/>
    <w:rsid w:val="006B18C0"/>
    <w:rsid w:val="006B18FF"/>
    <w:rsid w:val="006B1B1A"/>
    <w:rsid w:val="006C580A"/>
    <w:rsid w:val="006D0936"/>
    <w:rsid w:val="006D1E69"/>
    <w:rsid w:val="006E52F5"/>
    <w:rsid w:val="006F057C"/>
    <w:rsid w:val="006F22DA"/>
    <w:rsid w:val="006F2EB3"/>
    <w:rsid w:val="006F6A98"/>
    <w:rsid w:val="007010BD"/>
    <w:rsid w:val="007019E6"/>
    <w:rsid w:val="00706877"/>
    <w:rsid w:val="007069E4"/>
    <w:rsid w:val="007116B1"/>
    <w:rsid w:val="00714BEE"/>
    <w:rsid w:val="00721215"/>
    <w:rsid w:val="007226A2"/>
    <w:rsid w:val="0072555F"/>
    <w:rsid w:val="00730458"/>
    <w:rsid w:val="007400CF"/>
    <w:rsid w:val="007508C1"/>
    <w:rsid w:val="00755BCF"/>
    <w:rsid w:val="00761EFA"/>
    <w:rsid w:val="00763121"/>
    <w:rsid w:val="00763631"/>
    <w:rsid w:val="00764700"/>
    <w:rsid w:val="00767A23"/>
    <w:rsid w:val="00773E56"/>
    <w:rsid w:val="007832D6"/>
    <w:rsid w:val="00796597"/>
    <w:rsid w:val="007A50AD"/>
    <w:rsid w:val="007B1B47"/>
    <w:rsid w:val="007B1D99"/>
    <w:rsid w:val="007B23FC"/>
    <w:rsid w:val="007B3BEA"/>
    <w:rsid w:val="007D0C1D"/>
    <w:rsid w:val="007D2000"/>
    <w:rsid w:val="007D227B"/>
    <w:rsid w:val="007D4DBF"/>
    <w:rsid w:val="007E2273"/>
    <w:rsid w:val="007E4732"/>
    <w:rsid w:val="007E4BA4"/>
    <w:rsid w:val="007F004E"/>
    <w:rsid w:val="007F050C"/>
    <w:rsid w:val="007F2F1A"/>
    <w:rsid w:val="007F335A"/>
    <w:rsid w:val="007F6CFE"/>
    <w:rsid w:val="00801568"/>
    <w:rsid w:val="00803104"/>
    <w:rsid w:val="00810797"/>
    <w:rsid w:val="00812901"/>
    <w:rsid w:val="00812A1C"/>
    <w:rsid w:val="008220C6"/>
    <w:rsid w:val="00826B9A"/>
    <w:rsid w:val="008330BC"/>
    <w:rsid w:val="00842757"/>
    <w:rsid w:val="00843CC2"/>
    <w:rsid w:val="0084500D"/>
    <w:rsid w:val="008501DA"/>
    <w:rsid w:val="00851309"/>
    <w:rsid w:val="0085266D"/>
    <w:rsid w:val="008526D0"/>
    <w:rsid w:val="00860C7F"/>
    <w:rsid w:val="00866E65"/>
    <w:rsid w:val="00881C66"/>
    <w:rsid w:val="00885FFB"/>
    <w:rsid w:val="00897EC8"/>
    <w:rsid w:val="008A5AA0"/>
    <w:rsid w:val="008A7E31"/>
    <w:rsid w:val="008B20F4"/>
    <w:rsid w:val="008B4189"/>
    <w:rsid w:val="008E224D"/>
    <w:rsid w:val="008E66D9"/>
    <w:rsid w:val="008F2BA1"/>
    <w:rsid w:val="0090031E"/>
    <w:rsid w:val="009010B2"/>
    <w:rsid w:val="00903BDF"/>
    <w:rsid w:val="00904E01"/>
    <w:rsid w:val="009218D7"/>
    <w:rsid w:val="0092530B"/>
    <w:rsid w:val="00933229"/>
    <w:rsid w:val="009341A6"/>
    <w:rsid w:val="00934382"/>
    <w:rsid w:val="0093517E"/>
    <w:rsid w:val="00937210"/>
    <w:rsid w:val="009400A1"/>
    <w:rsid w:val="0094208C"/>
    <w:rsid w:val="00942F17"/>
    <w:rsid w:val="00943236"/>
    <w:rsid w:val="0095011B"/>
    <w:rsid w:val="00950F58"/>
    <w:rsid w:val="00952CEF"/>
    <w:rsid w:val="00955421"/>
    <w:rsid w:val="009606C1"/>
    <w:rsid w:val="00964C8C"/>
    <w:rsid w:val="0096535E"/>
    <w:rsid w:val="00990E9C"/>
    <w:rsid w:val="0099255F"/>
    <w:rsid w:val="00992AD6"/>
    <w:rsid w:val="00994542"/>
    <w:rsid w:val="00994908"/>
    <w:rsid w:val="009B160B"/>
    <w:rsid w:val="009C0B00"/>
    <w:rsid w:val="009C237B"/>
    <w:rsid w:val="009C4DD1"/>
    <w:rsid w:val="009E1746"/>
    <w:rsid w:val="009E5A93"/>
    <w:rsid w:val="009F06AC"/>
    <w:rsid w:val="009F1161"/>
    <w:rsid w:val="009F30DF"/>
    <w:rsid w:val="009F3154"/>
    <w:rsid w:val="009F7B52"/>
    <w:rsid w:val="009F7D64"/>
    <w:rsid w:val="00A02F89"/>
    <w:rsid w:val="00A03DC8"/>
    <w:rsid w:val="00A0711B"/>
    <w:rsid w:val="00A1211C"/>
    <w:rsid w:val="00A20113"/>
    <w:rsid w:val="00A20D78"/>
    <w:rsid w:val="00A2215F"/>
    <w:rsid w:val="00A22839"/>
    <w:rsid w:val="00A23E19"/>
    <w:rsid w:val="00A33185"/>
    <w:rsid w:val="00A34F9B"/>
    <w:rsid w:val="00A51918"/>
    <w:rsid w:val="00A51E5B"/>
    <w:rsid w:val="00A5372B"/>
    <w:rsid w:val="00A539AA"/>
    <w:rsid w:val="00A53B04"/>
    <w:rsid w:val="00A661F4"/>
    <w:rsid w:val="00A66326"/>
    <w:rsid w:val="00A7271A"/>
    <w:rsid w:val="00A74872"/>
    <w:rsid w:val="00A74D79"/>
    <w:rsid w:val="00A81E19"/>
    <w:rsid w:val="00A85EC6"/>
    <w:rsid w:val="00A91C4A"/>
    <w:rsid w:val="00A9723B"/>
    <w:rsid w:val="00AA1714"/>
    <w:rsid w:val="00AA5F4C"/>
    <w:rsid w:val="00AA7B14"/>
    <w:rsid w:val="00AB14B1"/>
    <w:rsid w:val="00AB5BBD"/>
    <w:rsid w:val="00AB795F"/>
    <w:rsid w:val="00AC176F"/>
    <w:rsid w:val="00AC2915"/>
    <w:rsid w:val="00AC3C7D"/>
    <w:rsid w:val="00AC6312"/>
    <w:rsid w:val="00AD1E77"/>
    <w:rsid w:val="00AD6D80"/>
    <w:rsid w:val="00AE5374"/>
    <w:rsid w:val="00AE77CA"/>
    <w:rsid w:val="00B04ABE"/>
    <w:rsid w:val="00B06490"/>
    <w:rsid w:val="00B1160D"/>
    <w:rsid w:val="00B139FB"/>
    <w:rsid w:val="00B13AFF"/>
    <w:rsid w:val="00B1676A"/>
    <w:rsid w:val="00B23F58"/>
    <w:rsid w:val="00B444E6"/>
    <w:rsid w:val="00B507E5"/>
    <w:rsid w:val="00B52011"/>
    <w:rsid w:val="00B526D8"/>
    <w:rsid w:val="00B53EFF"/>
    <w:rsid w:val="00B54AFA"/>
    <w:rsid w:val="00B6543F"/>
    <w:rsid w:val="00B671A4"/>
    <w:rsid w:val="00B7236E"/>
    <w:rsid w:val="00B804E8"/>
    <w:rsid w:val="00B806DB"/>
    <w:rsid w:val="00B903E7"/>
    <w:rsid w:val="00BB4201"/>
    <w:rsid w:val="00BC1745"/>
    <w:rsid w:val="00BC206C"/>
    <w:rsid w:val="00BC3A28"/>
    <w:rsid w:val="00BC431A"/>
    <w:rsid w:val="00BC4F36"/>
    <w:rsid w:val="00BD0A97"/>
    <w:rsid w:val="00BD3E19"/>
    <w:rsid w:val="00BE42E4"/>
    <w:rsid w:val="00BE6169"/>
    <w:rsid w:val="00BF5AFA"/>
    <w:rsid w:val="00C00852"/>
    <w:rsid w:val="00C01A35"/>
    <w:rsid w:val="00C03772"/>
    <w:rsid w:val="00C041C1"/>
    <w:rsid w:val="00C04EDA"/>
    <w:rsid w:val="00C119A2"/>
    <w:rsid w:val="00C11C0F"/>
    <w:rsid w:val="00C14F10"/>
    <w:rsid w:val="00C20131"/>
    <w:rsid w:val="00C214F1"/>
    <w:rsid w:val="00C31940"/>
    <w:rsid w:val="00C378BD"/>
    <w:rsid w:val="00C52314"/>
    <w:rsid w:val="00C53F1A"/>
    <w:rsid w:val="00C57267"/>
    <w:rsid w:val="00C616FF"/>
    <w:rsid w:val="00C62790"/>
    <w:rsid w:val="00C62B63"/>
    <w:rsid w:val="00C72B5B"/>
    <w:rsid w:val="00C869F3"/>
    <w:rsid w:val="00C95FBC"/>
    <w:rsid w:val="00CB0133"/>
    <w:rsid w:val="00CB4F77"/>
    <w:rsid w:val="00CB7FCF"/>
    <w:rsid w:val="00CC18AC"/>
    <w:rsid w:val="00CD7D5D"/>
    <w:rsid w:val="00CE3EA7"/>
    <w:rsid w:val="00CE55F8"/>
    <w:rsid w:val="00CF0621"/>
    <w:rsid w:val="00CF0FA2"/>
    <w:rsid w:val="00CF0FC4"/>
    <w:rsid w:val="00CF6932"/>
    <w:rsid w:val="00D01FE3"/>
    <w:rsid w:val="00D03050"/>
    <w:rsid w:val="00D0381E"/>
    <w:rsid w:val="00D05BD9"/>
    <w:rsid w:val="00D06CA3"/>
    <w:rsid w:val="00D07F46"/>
    <w:rsid w:val="00D12665"/>
    <w:rsid w:val="00D170E5"/>
    <w:rsid w:val="00D22C10"/>
    <w:rsid w:val="00D2403A"/>
    <w:rsid w:val="00D25CC2"/>
    <w:rsid w:val="00D263B7"/>
    <w:rsid w:val="00D37F2F"/>
    <w:rsid w:val="00D415B9"/>
    <w:rsid w:val="00D51EAF"/>
    <w:rsid w:val="00D528E8"/>
    <w:rsid w:val="00D532F7"/>
    <w:rsid w:val="00D62CA4"/>
    <w:rsid w:val="00D6628F"/>
    <w:rsid w:val="00D771D0"/>
    <w:rsid w:val="00D835CF"/>
    <w:rsid w:val="00D839A8"/>
    <w:rsid w:val="00D876B4"/>
    <w:rsid w:val="00D90490"/>
    <w:rsid w:val="00D92912"/>
    <w:rsid w:val="00D9412F"/>
    <w:rsid w:val="00D963C6"/>
    <w:rsid w:val="00DA176F"/>
    <w:rsid w:val="00DA26FB"/>
    <w:rsid w:val="00DA36BE"/>
    <w:rsid w:val="00DA6DC3"/>
    <w:rsid w:val="00DB1FEB"/>
    <w:rsid w:val="00DB6C3D"/>
    <w:rsid w:val="00DC5ACF"/>
    <w:rsid w:val="00DD3573"/>
    <w:rsid w:val="00DD666C"/>
    <w:rsid w:val="00DD7468"/>
    <w:rsid w:val="00DE21FC"/>
    <w:rsid w:val="00DE25E9"/>
    <w:rsid w:val="00DE5219"/>
    <w:rsid w:val="00DE6CE2"/>
    <w:rsid w:val="00DE71D3"/>
    <w:rsid w:val="00DE72CF"/>
    <w:rsid w:val="00DE748A"/>
    <w:rsid w:val="00DF08A0"/>
    <w:rsid w:val="00E13BEF"/>
    <w:rsid w:val="00E16F94"/>
    <w:rsid w:val="00E23E32"/>
    <w:rsid w:val="00E34B4C"/>
    <w:rsid w:val="00E36F57"/>
    <w:rsid w:val="00E47223"/>
    <w:rsid w:val="00E534EF"/>
    <w:rsid w:val="00E6080A"/>
    <w:rsid w:val="00E638DF"/>
    <w:rsid w:val="00E67E51"/>
    <w:rsid w:val="00E70760"/>
    <w:rsid w:val="00E763F5"/>
    <w:rsid w:val="00E8139C"/>
    <w:rsid w:val="00E830FE"/>
    <w:rsid w:val="00E9253C"/>
    <w:rsid w:val="00E94302"/>
    <w:rsid w:val="00E9551B"/>
    <w:rsid w:val="00E95FAB"/>
    <w:rsid w:val="00E97AEE"/>
    <w:rsid w:val="00EA0501"/>
    <w:rsid w:val="00EA22AB"/>
    <w:rsid w:val="00EA313C"/>
    <w:rsid w:val="00EA5055"/>
    <w:rsid w:val="00EB3CF0"/>
    <w:rsid w:val="00EB45B5"/>
    <w:rsid w:val="00EB49E5"/>
    <w:rsid w:val="00EB5E57"/>
    <w:rsid w:val="00EB61DB"/>
    <w:rsid w:val="00ED1AD0"/>
    <w:rsid w:val="00ED1F5A"/>
    <w:rsid w:val="00ED4AFD"/>
    <w:rsid w:val="00ED5AD6"/>
    <w:rsid w:val="00ED6776"/>
    <w:rsid w:val="00EE4FBE"/>
    <w:rsid w:val="00EE5927"/>
    <w:rsid w:val="00EE7BF1"/>
    <w:rsid w:val="00EF0FA4"/>
    <w:rsid w:val="00EF2571"/>
    <w:rsid w:val="00F038A1"/>
    <w:rsid w:val="00F06E4E"/>
    <w:rsid w:val="00F123CA"/>
    <w:rsid w:val="00F14F59"/>
    <w:rsid w:val="00F16887"/>
    <w:rsid w:val="00F238E0"/>
    <w:rsid w:val="00F26E3E"/>
    <w:rsid w:val="00F34C5C"/>
    <w:rsid w:val="00F4345E"/>
    <w:rsid w:val="00F445C4"/>
    <w:rsid w:val="00F51E01"/>
    <w:rsid w:val="00F53253"/>
    <w:rsid w:val="00F5649A"/>
    <w:rsid w:val="00F6686F"/>
    <w:rsid w:val="00F66AA4"/>
    <w:rsid w:val="00F67DC5"/>
    <w:rsid w:val="00F82342"/>
    <w:rsid w:val="00F877DB"/>
    <w:rsid w:val="00F91AE4"/>
    <w:rsid w:val="00F93C8B"/>
    <w:rsid w:val="00F959DD"/>
    <w:rsid w:val="00F960D5"/>
    <w:rsid w:val="00FA42EB"/>
    <w:rsid w:val="00FB1231"/>
    <w:rsid w:val="00FB5DAA"/>
    <w:rsid w:val="00FC1C5C"/>
    <w:rsid w:val="00FC3F3C"/>
    <w:rsid w:val="00FE17E2"/>
    <w:rsid w:val="00FE7DA2"/>
    <w:rsid w:val="00FF34C8"/>
    <w:rsid w:val="00FF6E4B"/>
    <w:rsid w:val="17F41994"/>
    <w:rsid w:val="224DF7B4"/>
    <w:rsid w:val="23B6646C"/>
    <w:rsid w:val="2697ADCA"/>
    <w:rsid w:val="2896C77B"/>
    <w:rsid w:val="2A3297DC"/>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284D6209-673C-4A1B-A513-6F869D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character" w:customStyle="1" w:styleId="ListParagraphChar">
    <w:name w:val="List Paragraph Char"/>
    <w:link w:val="ListParagraph"/>
    <w:uiPriority w:val="34"/>
    <w:rsid w:val="00553B54"/>
    <w:rPr>
      <w:rFonts w:ascii="Arial" w:hAnsi="Arial"/>
      <w:sz w:val="24"/>
      <w:lang w:eastAsia="en-US"/>
    </w:rPr>
  </w:style>
  <w:style w:type="character" w:styleId="CommentReference">
    <w:name w:val="annotation reference"/>
    <w:basedOn w:val="DefaultParagraphFont"/>
    <w:semiHidden/>
    <w:unhideWhenUsed/>
    <w:rsid w:val="004C5D20"/>
    <w:rPr>
      <w:sz w:val="16"/>
      <w:szCs w:val="16"/>
    </w:rPr>
  </w:style>
  <w:style w:type="paragraph" w:styleId="CommentText">
    <w:name w:val="annotation text"/>
    <w:basedOn w:val="Normal"/>
    <w:link w:val="CommentTextChar"/>
    <w:semiHidden/>
    <w:unhideWhenUsed/>
    <w:rsid w:val="004C5D20"/>
    <w:rPr>
      <w:sz w:val="20"/>
    </w:rPr>
  </w:style>
  <w:style w:type="character" w:customStyle="1" w:styleId="CommentTextChar">
    <w:name w:val="Comment Text Char"/>
    <w:basedOn w:val="DefaultParagraphFont"/>
    <w:link w:val="CommentText"/>
    <w:semiHidden/>
    <w:rsid w:val="004C5D20"/>
    <w:rPr>
      <w:rFonts w:ascii="Arial" w:hAnsi="Arial"/>
      <w:lang w:eastAsia="en-US"/>
    </w:rPr>
  </w:style>
  <w:style w:type="paragraph" w:styleId="CommentSubject">
    <w:name w:val="annotation subject"/>
    <w:basedOn w:val="CommentText"/>
    <w:next w:val="CommentText"/>
    <w:link w:val="CommentSubjectChar"/>
    <w:semiHidden/>
    <w:unhideWhenUsed/>
    <w:rsid w:val="004C5D20"/>
    <w:rPr>
      <w:b/>
      <w:bCs/>
    </w:rPr>
  </w:style>
  <w:style w:type="character" w:customStyle="1" w:styleId="CommentSubjectChar">
    <w:name w:val="Comment Subject Char"/>
    <w:basedOn w:val="CommentTextChar"/>
    <w:link w:val="CommentSubject"/>
    <w:semiHidden/>
    <w:rsid w:val="004C5D20"/>
    <w:rPr>
      <w:rFonts w:ascii="Arial" w:hAnsi="Arial"/>
      <w:b/>
      <w:bCs/>
      <w:lang w:eastAsia="en-US"/>
    </w:rPr>
  </w:style>
  <w:style w:type="paragraph" w:styleId="Revision">
    <w:name w:val="Revision"/>
    <w:hidden/>
    <w:uiPriority w:val="99"/>
    <w:semiHidden/>
    <w:rsid w:val="00526663"/>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4101858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58333092">
      <w:bodyDiv w:val="1"/>
      <w:marLeft w:val="0"/>
      <w:marRight w:val="0"/>
      <w:marTop w:val="0"/>
      <w:marBottom w:val="0"/>
      <w:divBdr>
        <w:top w:val="none" w:sz="0" w:space="0" w:color="auto"/>
        <w:left w:val="none" w:sz="0" w:space="0" w:color="auto"/>
        <w:bottom w:val="none" w:sz="0" w:space="0" w:color="auto"/>
        <w:right w:val="none" w:sz="0" w:space="0" w:color="auto"/>
      </w:divBdr>
    </w:div>
    <w:div w:id="790588272">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641573125">
      <w:bodyDiv w:val="1"/>
      <w:marLeft w:val="0"/>
      <w:marRight w:val="0"/>
      <w:marTop w:val="0"/>
      <w:marBottom w:val="0"/>
      <w:divBdr>
        <w:top w:val="none" w:sz="0" w:space="0" w:color="auto"/>
        <w:left w:val="none" w:sz="0" w:space="0" w:color="auto"/>
        <w:bottom w:val="none" w:sz="0" w:space="0" w:color="auto"/>
        <w:right w:val="none" w:sz="0" w:space="0" w:color="auto"/>
      </w:divBdr>
    </w:div>
    <w:div w:id="179143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vid.hughes@harrow.gov.uk" TargetMode="External"/><Relationship Id="rId18" Type="http://schemas.openxmlformats.org/officeDocument/2006/relationships/hyperlink" Target="file:///C:\Users\CSayers\AppData\Local\Microsoft\Windows\INetCache\Content.Outlook\J4L9BEGT\Issue%20details%20-%20Harrow%20Statement%20of%20Community%20Involvement%20(SCI)%20-%20amendment%20in%20response%20to%20Covid-19%20&#8211;%20Harrow%20Counci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harrow.gov.uk/downloads/file/23243/local-development-scheme-statement-of-community-involvement-adopted-mar-2013.pdf" TargetMode="External"/><Relationship Id="rId2" Type="http://schemas.openxmlformats.org/officeDocument/2006/relationships/customXml" Target="../customXml/item2.xml"/><Relationship Id="rId16" Type="http://schemas.openxmlformats.org/officeDocument/2006/relationships/hyperlink" Target="https://www.harrow.gov.uk/downloads/file/26426/local-plan-core-strategy.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ondon.gov.uk/sites/default/files/the_london_plan_2021.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1005759/NPPF_July_2021.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4" ma:contentTypeDescription="Create a new document." ma:contentTypeScope="" ma:versionID="b688c623b2afe49189bd0bb0f66fcabf">
  <xsd:schema xmlns:xsd="http://www.w3.org/2001/XMLSchema" xmlns:xs="http://www.w3.org/2001/XMLSchema" xmlns:p="http://schemas.microsoft.com/office/2006/metadata/properties" xmlns:ns2="48fdd5af-7127-4349-9ef8-8ec3aedfe79a" targetNamespace="http://schemas.microsoft.com/office/2006/metadata/properties" ma:root="true" ma:fieldsID="c5c866ef61867eeb83eec35f93f8ccb8" ns2:_="">
    <xsd:import namespace="48fdd5af-7127-4349-9ef8-8ec3aedfe7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2.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2C7FC10E-8474-4047-9AEB-2F986650E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B1B39E-4BD6-4D34-B83E-79D5CD4DA147}">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48fdd5af-7127-4349-9ef8-8ec3aedfe79a"/>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1385</Words>
  <Characters>8614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Nikoleta Kemp</cp:lastModifiedBy>
  <cp:revision>8</cp:revision>
  <cp:lastPrinted>2022-05-17T13:25:00Z</cp:lastPrinted>
  <dcterms:created xsi:type="dcterms:W3CDTF">2022-05-17T13:39:00Z</dcterms:created>
  <dcterms:modified xsi:type="dcterms:W3CDTF">2022-05-19T10:57:00Z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